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AF" w:rsidRPr="004255AF" w:rsidRDefault="004255AF" w:rsidP="004255A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4255AF" w:rsidRPr="00E9776D" w:rsidRDefault="00E9776D" w:rsidP="004255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4255AF" w:rsidRPr="00E9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="00ED3720" w:rsidRPr="00E9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</w:t>
      </w:r>
      <w:r w:rsidR="004255AF" w:rsidRPr="00E9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кту постанови Кабінету Міністрів України «Про затвердження </w:t>
      </w:r>
      <w:r w:rsidR="004255AF" w:rsidRPr="00E9776D">
        <w:rPr>
          <w:rFonts w:ascii="Times New Roman" w:hAnsi="Times New Roman" w:cs="Times New Roman"/>
          <w:b/>
          <w:bCs/>
          <w:sz w:val="28"/>
          <w:szCs w:val="28"/>
        </w:rPr>
        <w:t xml:space="preserve">Порядку взаємодії адміністрації морських рибних портів, портопунктів, місць базування суден флоту рибної промисловості та Державної екологічної інспекції України </w:t>
      </w:r>
      <w:r w:rsidR="008A38CA" w:rsidRPr="00E9776D">
        <w:rPr>
          <w:rFonts w:ascii="Times New Roman" w:hAnsi="Times New Roman" w:cs="Times New Roman"/>
          <w:b/>
          <w:bCs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</w:t>
      </w:r>
      <w:r w:rsidR="004255AF" w:rsidRPr="00E9776D">
        <w:rPr>
          <w:rFonts w:ascii="Times New Roman" w:hAnsi="Times New Roman" w:cs="Times New Roman"/>
          <w:b/>
          <w:bCs/>
          <w:sz w:val="28"/>
          <w:szCs w:val="28"/>
        </w:rPr>
        <w:t>у разі виявлення випадків скидання суднами (плавзасобами) забруднюючих речовин у межах акваторії порту, портопунктів та місць базування суден</w:t>
      </w:r>
      <w:r w:rsidR="004255AF" w:rsidRPr="00E9776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9776D" w:rsidRDefault="00E9776D" w:rsidP="00E9776D">
      <w:pPr>
        <w:pStyle w:val="a5"/>
        <w:spacing w:after="0" w:line="240" w:lineRule="auto"/>
        <w:ind w:left="1069"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720" w:rsidRDefault="00ED3720" w:rsidP="00ED3720">
      <w:pPr>
        <w:pStyle w:val="a5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Резюме</w:t>
      </w:r>
    </w:p>
    <w:p w:rsidR="00ED3720" w:rsidRPr="00ED3720" w:rsidRDefault="00ED3720" w:rsidP="00ED3720">
      <w:pPr>
        <w:pStyle w:val="a5"/>
        <w:spacing w:after="0" w:line="240" w:lineRule="auto"/>
        <w:ind w:left="1069"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5AF" w:rsidRDefault="004255AF" w:rsidP="00E9776D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ED3720">
        <w:rPr>
          <w:rFonts w:ascii="Times New Roman" w:eastAsia="Times New Roman" w:hAnsi="Times New Roman" w:cs="Times New Roman"/>
          <w:sz w:val="28"/>
          <w:szCs w:val="28"/>
        </w:rPr>
        <w:t>Мет</w:t>
      </w:r>
      <w:r w:rsidR="00ED3720" w:rsidRPr="00ED3720">
        <w:rPr>
          <w:rFonts w:ascii="Times New Roman" w:eastAsia="Times New Roman" w:hAnsi="Times New Roman" w:cs="Times New Roman"/>
          <w:sz w:val="28"/>
          <w:szCs w:val="28"/>
        </w:rPr>
        <w:t>ою прийняття</w:t>
      </w:r>
      <w:r w:rsidR="00ED3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720" w:rsidRPr="00425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постанови Кабінету Міністрів України </w:t>
      </w:r>
      <w:r w:rsidR="00ED3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визначення механізму взаємодії </w:t>
      </w:r>
      <w:r w:rsidRPr="00E438FD">
        <w:rPr>
          <w:rFonts w:ascii="Times New Roman" w:hAnsi="Times New Roman"/>
          <w:bCs/>
          <w:sz w:val="28"/>
          <w:szCs w:val="28"/>
        </w:rPr>
        <w:t xml:space="preserve">адміністрації морських рибних портів, портопунктів, місць базування суден флоту рибної промисловості та </w:t>
      </w:r>
      <w:r>
        <w:rPr>
          <w:rFonts w:ascii="Times New Roman" w:hAnsi="Times New Roman"/>
          <w:bCs/>
          <w:sz w:val="28"/>
          <w:szCs w:val="28"/>
        </w:rPr>
        <w:t xml:space="preserve">Державної екологічної інспекції України </w:t>
      </w:r>
      <w:r w:rsidR="008A38CA">
        <w:rPr>
          <w:rFonts w:ascii="Times New Roman" w:hAnsi="Times New Roman"/>
          <w:bCs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</w:t>
      </w:r>
      <w:r w:rsidRPr="00E438FD">
        <w:rPr>
          <w:rFonts w:ascii="Times New Roman" w:hAnsi="Times New Roman"/>
          <w:bCs/>
          <w:sz w:val="28"/>
          <w:szCs w:val="28"/>
        </w:rPr>
        <w:t xml:space="preserve">у разі виявлення випадків скидання суднами (плавзасобами) забруднюючих речовин у межах акваторії </w:t>
      </w:r>
      <w:r w:rsidR="00E9776D" w:rsidRPr="00E438FD">
        <w:rPr>
          <w:rFonts w:ascii="Times New Roman" w:hAnsi="Times New Roman"/>
          <w:bCs/>
          <w:sz w:val="28"/>
          <w:szCs w:val="28"/>
        </w:rPr>
        <w:t>морських рибних портів</w:t>
      </w:r>
      <w:r w:rsidRPr="00E438FD">
        <w:rPr>
          <w:rFonts w:ascii="Times New Roman" w:hAnsi="Times New Roman"/>
          <w:bCs/>
          <w:sz w:val="28"/>
          <w:szCs w:val="28"/>
        </w:rPr>
        <w:t>, портопунктів та місць базування суден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BCF" w:rsidRDefault="00C27BCF" w:rsidP="00E9776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9"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18B" w:rsidRPr="00DC418B" w:rsidRDefault="00ED3720" w:rsidP="00E9776D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</w:t>
      </w:r>
      <w:r w:rsidR="00DC418B" w:rsidRPr="00DC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C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ма, яка потребує </w:t>
      </w:r>
      <w:r w:rsidR="00DC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розв’язання </w:t>
      </w:r>
    </w:p>
    <w:p w:rsidR="00C27BCF" w:rsidRDefault="00C27BCF" w:rsidP="00E9776D">
      <w:pPr>
        <w:pStyle w:val="HTML"/>
        <w:tabs>
          <w:tab w:val="clear" w:pos="916"/>
          <w:tab w:val="left" w:pos="1134"/>
        </w:tabs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DC418B" w:rsidRDefault="00DC418B" w:rsidP="00E9776D">
      <w:pPr>
        <w:pStyle w:val="HTML"/>
        <w:tabs>
          <w:tab w:val="clear" w:pos="916"/>
          <w:tab w:val="left" w:pos="1134"/>
        </w:tabs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D37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Здійснення державного нагляду (контролю) за додержанням вимог природоохоронного законодавства у сфері використання, відтворення та охорони морського середовища і природних ресурсів морських вод, територіального моря, виключної (морської) економічної зони України та континентального шельфу України покладено на Державну екологічну інспекцію України та її територіальні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міжрегіональні територіальні </w:t>
      </w:r>
      <w:r w:rsidRPr="000D37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органи.</w:t>
      </w:r>
    </w:p>
    <w:p w:rsidR="000529F7" w:rsidRPr="003E7FC1" w:rsidRDefault="003E7FC1" w:rsidP="00E9776D">
      <w:pPr>
        <w:pStyle w:val="HTML"/>
        <w:tabs>
          <w:tab w:val="clear" w:pos="916"/>
          <w:tab w:val="left" w:pos="1134"/>
        </w:tabs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E7F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Відповідно до статті 46 Закону України «Про рибне господарство, промислове рибальство та охорону водних біоресурсів» м</w:t>
      </w:r>
      <w:r w:rsidR="000529F7" w:rsidRPr="003E7F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орські рибні порти, портопункти та місця базування суден флоту рибної промисловості мають забезпечувати безпечну стоянку суден (плавзасобів) флоту рибної промисловості та дотримання законодавства про охорону навколишнього природного середовища, у тому числі шляхом участі в межах визначеної законодавством компетенції у виявленні випадків скидання суднами (плавзасобами) забруднюючих речовин у межах акваторії порту, портопунктів та місць базування суден.</w:t>
      </w:r>
    </w:p>
    <w:p w:rsidR="000529F7" w:rsidRPr="003E7FC1" w:rsidRDefault="000529F7" w:rsidP="00E9776D">
      <w:pPr>
        <w:pStyle w:val="HTML"/>
        <w:tabs>
          <w:tab w:val="clear" w:pos="916"/>
          <w:tab w:val="left" w:pos="1134"/>
        </w:tabs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0" w:name="n553"/>
      <w:bookmarkStart w:id="1" w:name="n555"/>
      <w:bookmarkEnd w:id="0"/>
      <w:bookmarkEnd w:id="1"/>
      <w:r w:rsidRPr="003E7F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Порядок взаємодії адміністрації морських рибних портів, портопунктів, місць базування суден флоту рибної промисловості та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із забезпечення дотримання законодавства про охорону навколишнього природного середовища у разі виявлення випадків скидання суднами </w:t>
      </w:r>
      <w:r w:rsidRPr="003E7F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(плавзасобами) забруднюючих речовин у межах акваторії порту, портопунктів та місць базування суден встановлюється Кабінетом Міністрів України.</w:t>
      </w:r>
    </w:p>
    <w:p w:rsidR="00523889" w:rsidRPr="00D02136" w:rsidRDefault="00523889" w:rsidP="00E9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даний час відсутній будь-який порядок взаємодії адміністраці</w:t>
      </w:r>
      <w:r w:rsidR="009F3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D0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морських рибних портів, портопунктів, місць базування суден флоту рибної промисловості </w:t>
      </w:r>
      <w:r w:rsidR="009F3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 w:rsidRPr="00D0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Держекоінспекцією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із забезпечення дотримання законодавства про охорону навколишнього природного середовища </w:t>
      </w:r>
      <w:r w:rsidRPr="00D02136">
        <w:rPr>
          <w:rFonts w:ascii="Times New Roman" w:eastAsia="Calibri" w:hAnsi="Times New Roman" w:cs="Times New Roman"/>
          <w:bCs/>
          <w:sz w:val="28"/>
          <w:szCs w:val="28"/>
        </w:rPr>
        <w:t>у разі виявлення випадків скидання суднами (плавзасобами) забруднюючих речовин у межах акваторії порту,</w:t>
      </w:r>
      <w:r w:rsidRPr="00D0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портопунктів та місць базування суден.</w:t>
      </w:r>
    </w:p>
    <w:p w:rsidR="003E7FC1" w:rsidRDefault="003E7FC1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AF" w:rsidRPr="004F60AF" w:rsidRDefault="004255AF" w:rsidP="00E9776D">
      <w:pPr>
        <w:shd w:val="clear" w:color="auto" w:fill="FFFFFF"/>
        <w:spacing w:before="120" w:after="12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Суть про</w:t>
      </w:r>
      <w:r w:rsidR="009F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r w:rsidRPr="004F6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 акта</w:t>
      </w:r>
    </w:p>
    <w:p w:rsidR="003027A1" w:rsidRPr="00C27BCF" w:rsidRDefault="003027A1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про</w:t>
      </w:r>
      <w:r w:rsidR="009F342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0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акту 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сприятиме </w:t>
      </w:r>
      <w:r w:rsidRPr="00D02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женню </w:t>
      </w:r>
      <w:r w:rsidRPr="00D021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0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взаємоді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0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встановленн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чітких дій </w:t>
      </w:r>
      <w:r w:rsidRPr="00D02136">
        <w:rPr>
          <w:rFonts w:ascii="Times New Roman" w:eastAsia="Times New Roman" w:hAnsi="Times New Roman" w:cs="Times New Roman"/>
          <w:sz w:val="28"/>
          <w:szCs w:val="28"/>
        </w:rPr>
        <w:t xml:space="preserve">державних інспекторів з охорони навколишнього природного середовища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</w:t>
      </w:r>
      <w:r w:rsidRPr="00D02136">
        <w:rPr>
          <w:rFonts w:ascii="Times New Roman" w:eastAsia="Calibri" w:hAnsi="Times New Roman" w:cs="Times New Roman"/>
          <w:bCs/>
          <w:sz w:val="28"/>
          <w:szCs w:val="28"/>
        </w:rPr>
        <w:t>адміністраці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>ї</w:t>
      </w:r>
      <w:r w:rsidRPr="00D02136">
        <w:rPr>
          <w:rFonts w:ascii="Times New Roman" w:eastAsia="Calibri" w:hAnsi="Times New Roman" w:cs="Times New Roman"/>
          <w:bCs/>
          <w:sz w:val="28"/>
          <w:szCs w:val="28"/>
        </w:rPr>
        <w:t xml:space="preserve"> морських рибних портів, 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портопунктів, місць базування суден флоту рибної промисловості у разі виявлення випадків скидання суднами (плавзасобами) забруднюючих речовин у межах акваторії порту, портопунктів та місць базування суден.</w:t>
      </w:r>
    </w:p>
    <w:p w:rsid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pStyle w:val="a5"/>
        <w:widowControl w:val="0"/>
        <w:numPr>
          <w:ilvl w:val="0"/>
          <w:numId w:val="5"/>
        </w:numPr>
        <w:spacing w:after="0" w:line="240" w:lineRule="atLeast"/>
        <w:ind w:left="0"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Вплив на бюджет </w:t>
      </w:r>
    </w:p>
    <w:p w:rsid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Реалізація 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постанови 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не потребує фінансування з державного та місцевих бюджетів.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/>
          <w:bCs/>
          <w:sz w:val="28"/>
          <w:szCs w:val="28"/>
        </w:rPr>
        <w:t>5. Позиція заінтересованих сторін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Проєкт 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>постанови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 не стосується питань соціально-трудової сфери та/або прав осіб з інвалідністю та відповідно не потребує залучення до його опрацювання уповноважених представників від всеукраїнських профспілок, їх об’єднань, всеукраїнських об’єднань організацій роботодавців України чи відповідних органів місцевого самоврядування, а також всеукраїнських громадських організацій інвалідів, їх спілок.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Прогноз впливу реалізації 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>постанови на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 ключові інтереси заінтересованих сторін внаслідок прийняття наказу наведено у додатку до пояснювальної записки (додається).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Проєкт 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постанови 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Проєкт 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постанови 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не стосується сфери наукової та науково-технічної діяльності.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/>
          <w:bCs/>
          <w:sz w:val="28"/>
          <w:szCs w:val="28"/>
        </w:rPr>
        <w:t>6. Прогноз впливу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Реалізація проєкту 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постанови 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не вплине на ринкове середовище.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Проєкт </w:t>
      </w:r>
      <w:r w:rsidR="009F342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постанови 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не стосується державного планування заходів, які матимуть наслідки для довкілля та здоров’я населення і не потребує 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проведення стратегічної екологічної оцінки.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Проєкт акта позитивно вплине на покращення здоров’я населення, оскільки сприятиме покращенню стану </w:t>
      </w:r>
      <w:r>
        <w:rPr>
          <w:rFonts w:ascii="Times New Roman" w:eastAsia="Calibri" w:hAnsi="Times New Roman" w:cs="Times New Roman"/>
          <w:bCs/>
          <w:sz w:val="28"/>
          <w:szCs w:val="28"/>
        </w:rPr>
        <w:t>морського середовища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, та відновленню екологічної рівноваги </w:t>
      </w:r>
      <w:r>
        <w:rPr>
          <w:rFonts w:ascii="Times New Roman" w:eastAsia="Calibri" w:hAnsi="Times New Roman" w:cs="Times New Roman"/>
          <w:bCs/>
          <w:sz w:val="28"/>
          <w:szCs w:val="28"/>
        </w:rPr>
        <w:t>морів</w:t>
      </w:r>
      <w:r w:rsidRPr="00C27BC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7BCF" w:rsidRDefault="00C27BCF" w:rsidP="00E9776D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4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сприятиме налагодженню взаємодії та встановленню чітких дій </w:t>
      </w:r>
      <w:r w:rsidRPr="004255AF">
        <w:rPr>
          <w:rFonts w:ascii="Times New Roman" w:eastAsia="Times New Roman" w:hAnsi="Times New Roman" w:cs="Times New Roman"/>
          <w:sz w:val="28"/>
          <w:szCs w:val="28"/>
        </w:rPr>
        <w:t xml:space="preserve">державних інспекторів з охорони навколишнього природного середовища та </w:t>
      </w:r>
      <w:r w:rsidRPr="00E438FD">
        <w:rPr>
          <w:rFonts w:ascii="Times New Roman" w:hAnsi="Times New Roman"/>
          <w:bCs/>
          <w:sz w:val="28"/>
          <w:szCs w:val="28"/>
        </w:rPr>
        <w:t>адміністрації морських рибних портів, портопунктів, місць базування суден флоту рибної промисловості</w:t>
      </w:r>
      <w:r w:rsidRPr="0042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5AF">
        <w:rPr>
          <w:rFonts w:ascii="Times New Roman" w:eastAsia="Calibri" w:hAnsi="Times New Roman" w:cs="Times New Roman"/>
          <w:bCs/>
          <w:sz w:val="28"/>
          <w:szCs w:val="28"/>
        </w:rPr>
        <w:t>у разі виявлення випадків скидання суднами (плавзасобами) забруднюючих речовин у межах акваторії порту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255AF">
        <w:rPr>
          <w:rFonts w:ascii="Times New Roman" w:hAnsi="Times New Roman"/>
          <w:bCs/>
          <w:sz w:val="28"/>
          <w:szCs w:val="28"/>
        </w:rPr>
        <w:t xml:space="preserve"> </w:t>
      </w:r>
      <w:r w:rsidRPr="00E438FD">
        <w:rPr>
          <w:rFonts w:ascii="Times New Roman" w:hAnsi="Times New Roman"/>
          <w:bCs/>
          <w:sz w:val="28"/>
          <w:szCs w:val="28"/>
        </w:rPr>
        <w:t>портопунктів та місць базування суден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/>
          <w:bCs/>
          <w:sz w:val="28"/>
          <w:szCs w:val="28"/>
        </w:rPr>
        <w:t>7. Позиція заінтересованих органів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9F342E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Постанова </w:t>
      </w:r>
      <w:r w:rsidR="00C27BCF"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потребує погодження з Міністерством фінансів України, Міністерством розвитку економіки, торгівлі та сільського господарства України, Міністерством інфраструктури України, </w:t>
      </w:r>
      <w:r w:rsidR="00404A96">
        <w:rPr>
          <w:rFonts w:ascii="Times New Roman" w:eastAsia="Calibri" w:hAnsi="Times New Roman" w:cs="Times New Roman"/>
          <w:bCs/>
          <w:sz w:val="28"/>
          <w:szCs w:val="28"/>
        </w:rPr>
        <w:t xml:space="preserve">Міністерством юстиції України, </w:t>
      </w:r>
      <w:r w:rsidR="00C27BCF" w:rsidRPr="00C27BCF">
        <w:rPr>
          <w:rFonts w:ascii="Times New Roman" w:eastAsia="Calibri" w:hAnsi="Times New Roman" w:cs="Times New Roman"/>
          <w:bCs/>
          <w:sz w:val="28"/>
          <w:szCs w:val="28"/>
        </w:rPr>
        <w:t>Державною екологічною інспекцією України, Державною регуляторною службою України</w:t>
      </w:r>
      <w:r w:rsidR="00404A9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04A96" w:rsidRPr="00404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Державним агентством рибного господарства.</w:t>
      </w:r>
      <w:r w:rsidR="00C27BCF" w:rsidRPr="00C27B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404A96" w:rsidRDefault="00404A96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4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 w:rsidR="00C27BCF" w:rsidRPr="00404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Ризики та обмеження 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Проєкт акта не містить норм, що порушують права та свободи, гарантовані Конвенцією про захист прав людини і основоположних свобод.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>У Проєкті акта відсутні положення, які порушують принципи забезпечення рівних прав та можливостей жінок і чоловіків.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Проєкт акта не містить положень, які створюють підстави для дискримінації.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>У Проєкті акта відсутні положення, які містять ризики вчинення корупційних правопорушень та правопорушень, пов’язаних з корупцією.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CF">
        <w:rPr>
          <w:rFonts w:ascii="Times New Roman" w:eastAsia="Calibri" w:hAnsi="Times New Roman" w:cs="Times New Roman"/>
          <w:bCs/>
          <w:sz w:val="28"/>
          <w:szCs w:val="28"/>
        </w:rPr>
        <w:t>Проєкт акта не потребує проведення цифрової експертизи та отримання висновку Мінцифри про проведення цифрової експертизи, у зв’язку з тим, що проект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C27BCF" w:rsidRPr="00C27BCF" w:rsidRDefault="00C27BCF" w:rsidP="00E9776D">
      <w:pPr>
        <w:widowControl w:val="0"/>
        <w:spacing w:after="0" w:line="240" w:lineRule="atLeast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3720" w:rsidRPr="004255AF" w:rsidRDefault="00404A96" w:rsidP="00E9776D">
      <w:pPr>
        <w:shd w:val="clear" w:color="auto" w:fill="FFFFFF"/>
        <w:tabs>
          <w:tab w:val="left" w:pos="1080"/>
        </w:tabs>
        <w:spacing w:before="120" w:after="12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ED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D3720" w:rsidRPr="0042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Підстава розроблення про</w:t>
      </w:r>
      <w:r w:rsidR="009F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r w:rsidR="00ED3720" w:rsidRPr="0042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 акта</w:t>
      </w:r>
    </w:p>
    <w:p w:rsidR="00ED3720" w:rsidRPr="004255AF" w:rsidRDefault="00ED3720" w:rsidP="00FB064A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55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9F342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425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Pr="00425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</w:t>
      </w:r>
      <w:r w:rsidR="0040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ови Кабінету Міністрів України </w:t>
      </w:r>
      <w:r w:rsidRPr="004255A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розроблено </w:t>
      </w:r>
      <w:r w:rsidR="00404A96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до вимог </w:t>
      </w:r>
      <w:r w:rsidR="00404A96" w:rsidRPr="003E7FC1">
        <w:rPr>
          <w:rFonts w:ascii="Times New Roman" w:eastAsia="Calibri" w:hAnsi="Times New Roman" w:cs="Times New Roman"/>
          <w:sz w:val="28"/>
          <w:szCs w:val="28"/>
        </w:rPr>
        <w:t>статті 46 Закону України «Про рибне господарство, промислове рибальство та охорону водних біоресурсів»</w:t>
      </w:r>
      <w:r w:rsidR="005F04A4">
        <w:rPr>
          <w:rFonts w:ascii="Times New Roman" w:eastAsia="Calibri" w:hAnsi="Times New Roman" w:cs="Times New Roman"/>
          <w:sz w:val="28"/>
          <w:szCs w:val="28"/>
        </w:rPr>
        <w:t>,</w:t>
      </w:r>
      <w:bookmarkStart w:id="2" w:name="_GoBack"/>
      <w:bookmarkEnd w:id="2"/>
      <w:r w:rsidR="00404A96" w:rsidRPr="003E7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5A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255AF">
        <w:rPr>
          <w:rFonts w:ascii="Times New Roman" w:hAnsi="Times New Roman"/>
          <w:sz w:val="28"/>
          <w:szCs w:val="24"/>
        </w:rPr>
        <w:t xml:space="preserve">а виконання пункту </w:t>
      </w:r>
      <w:r>
        <w:rPr>
          <w:rFonts w:ascii="Times New Roman" w:hAnsi="Times New Roman"/>
          <w:sz w:val="28"/>
          <w:szCs w:val="24"/>
        </w:rPr>
        <w:t>9</w:t>
      </w:r>
      <w:r w:rsidRPr="004255AF">
        <w:rPr>
          <w:rFonts w:ascii="Times New Roman" w:hAnsi="Times New Roman"/>
          <w:sz w:val="28"/>
          <w:szCs w:val="24"/>
        </w:rPr>
        <w:t xml:space="preserve"> Плану організації підготовки проектів актів, необхідних для забезпечення реалізації Закону України від 6 вересня 2018 р</w:t>
      </w:r>
      <w:r>
        <w:rPr>
          <w:rFonts w:ascii="Times New Roman" w:hAnsi="Times New Roman"/>
          <w:sz w:val="28"/>
          <w:szCs w:val="24"/>
        </w:rPr>
        <w:t>оку</w:t>
      </w:r>
      <w:r w:rsidRPr="004255AF">
        <w:rPr>
          <w:rFonts w:ascii="Times New Roman" w:hAnsi="Times New Roman"/>
          <w:sz w:val="28"/>
          <w:szCs w:val="24"/>
        </w:rPr>
        <w:t xml:space="preserve"> № 2530-</w:t>
      </w:r>
      <w:r w:rsidRPr="004255AF">
        <w:rPr>
          <w:rFonts w:ascii="Times New Roman" w:hAnsi="Times New Roman"/>
          <w:sz w:val="28"/>
          <w:szCs w:val="24"/>
          <w:lang w:val="en-US"/>
        </w:rPr>
        <w:t>V</w:t>
      </w:r>
      <w:r w:rsidRPr="004255AF">
        <w:rPr>
          <w:rFonts w:ascii="Times New Roman" w:hAnsi="Times New Roman"/>
          <w:sz w:val="28"/>
          <w:szCs w:val="24"/>
        </w:rPr>
        <w:t xml:space="preserve">ІІІ «Про внесення змін до Митного кодексу України та деяких інших законів України щодо </w:t>
      </w:r>
      <w:r w:rsidRPr="004255AF">
        <w:rPr>
          <w:rFonts w:ascii="Times New Roman" w:hAnsi="Times New Roman"/>
          <w:sz w:val="28"/>
          <w:szCs w:val="24"/>
        </w:rPr>
        <w:lastRenderedPageBreak/>
        <w:t xml:space="preserve">запровадження механізму «єдиного вікна» та оптимізації здійснення контрольних </w:t>
      </w:r>
      <w:r w:rsidRPr="00CC4D1D">
        <w:rPr>
          <w:rFonts w:ascii="Times New Roman" w:eastAsia="Calibri" w:hAnsi="Times New Roman" w:cs="Times New Roman"/>
          <w:bCs/>
          <w:sz w:val="28"/>
          <w:szCs w:val="28"/>
        </w:rPr>
        <w:t xml:space="preserve">процедур при переміщенні товарів через митний кордон України», </w:t>
      </w:r>
      <w:r w:rsidRPr="004255AF">
        <w:rPr>
          <w:rFonts w:ascii="Times New Roman" w:eastAsia="Calibri" w:hAnsi="Times New Roman" w:cs="Times New Roman"/>
          <w:bCs/>
          <w:sz w:val="28"/>
          <w:szCs w:val="28"/>
        </w:rPr>
        <w:t>схваленого на засіданні Кабінету Міністрів України 17 жовтня 2018 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оку</w:t>
      </w:r>
      <w:r w:rsidRPr="004255AF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 № 42 (реєстраційний номер від 17.10.2018 № 38913/1/1-18)</w:t>
      </w:r>
      <w:r w:rsidR="00FB064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F04A4">
        <w:rPr>
          <w:rFonts w:ascii="Times New Roman" w:eastAsia="Calibri" w:hAnsi="Times New Roman" w:cs="Times New Roman"/>
          <w:bCs/>
          <w:sz w:val="28"/>
          <w:szCs w:val="28"/>
        </w:rPr>
        <w:t xml:space="preserve">та </w:t>
      </w:r>
      <w:r w:rsidR="00FB064A" w:rsidRPr="00EB365B">
        <w:rPr>
          <w:rFonts w:ascii="Times New Roman" w:eastAsia="Calibri" w:hAnsi="Times New Roman" w:cs="Times New Roman"/>
          <w:sz w:val="28"/>
          <w:szCs w:val="28"/>
        </w:rPr>
        <w:t>пункту 61 Плану діяльності Міністерства захисту довкілля та природних ресурсів України з підготовки проєктів регуляторних актів на 2020 рік</w:t>
      </w:r>
    </w:p>
    <w:p w:rsidR="00ED3720" w:rsidRPr="00CC4D1D" w:rsidRDefault="00ED3720" w:rsidP="00E9776D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75C1" w:rsidRPr="00CC4D1D" w:rsidRDefault="005575C1" w:rsidP="00E9776D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4D1D" w:rsidRPr="00CC4D1D" w:rsidRDefault="00CC4D1D" w:rsidP="00E9776D">
      <w:pPr>
        <w:spacing w:line="240" w:lineRule="auto"/>
        <w:ind w:right="-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4D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Голова Державної екологічної </w:t>
      </w:r>
    </w:p>
    <w:p w:rsidR="00CC4D1D" w:rsidRPr="00CC4D1D" w:rsidRDefault="00CC4D1D" w:rsidP="00E9776D">
      <w:pPr>
        <w:spacing w:line="240" w:lineRule="auto"/>
        <w:ind w:right="-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4D1D">
        <w:rPr>
          <w:rFonts w:ascii="Times New Roman" w:eastAsia="Calibri" w:hAnsi="Times New Roman" w:cs="Times New Roman"/>
          <w:b/>
          <w:bCs/>
          <w:sz w:val="28"/>
          <w:szCs w:val="28"/>
        </w:rPr>
        <w:t>інспекції України                                                           Андрій МАЛЬОВАНИЙ</w:t>
      </w:r>
    </w:p>
    <w:p w:rsidR="00CC4D1D" w:rsidRPr="00CC4D1D" w:rsidRDefault="00CC4D1D" w:rsidP="00E9776D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4D1D" w:rsidRPr="00CC4D1D" w:rsidRDefault="00CC4D1D" w:rsidP="00E9776D">
      <w:pPr>
        <w:spacing w:line="240" w:lineRule="auto"/>
        <w:ind w:righ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4D1D">
        <w:rPr>
          <w:rFonts w:ascii="Times New Roman" w:eastAsia="Calibri" w:hAnsi="Times New Roman" w:cs="Times New Roman"/>
          <w:bCs/>
          <w:sz w:val="28"/>
          <w:szCs w:val="28"/>
        </w:rPr>
        <w:t>____ ____________ 2020 р.</w:t>
      </w:r>
    </w:p>
    <w:p w:rsidR="00CC4D1D" w:rsidRPr="00CC4D1D" w:rsidRDefault="00CC4D1D" w:rsidP="00E9776D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CC4D1D" w:rsidRDefault="00CC4D1D" w:rsidP="00E9776D">
      <w:pPr>
        <w:widowControl w:val="0"/>
        <w:ind w:right="-142" w:firstLine="709"/>
        <w:jc w:val="both"/>
        <w:rPr>
          <w:snapToGrid w:val="0"/>
          <w:sz w:val="28"/>
          <w:szCs w:val="28"/>
        </w:rPr>
      </w:pPr>
    </w:p>
    <w:p w:rsidR="009F342E" w:rsidRDefault="009F342E" w:rsidP="00E9776D">
      <w:pPr>
        <w:spacing w:before="120" w:after="120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C4D1D" w:rsidRPr="00E9776D" w:rsidRDefault="00CC4D1D" w:rsidP="009C228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77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ПРОГНОЗ ВПЛИВУ</w:t>
      </w:r>
    </w:p>
    <w:p w:rsidR="00CC4D1D" w:rsidRDefault="00CC4D1D" w:rsidP="009C228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977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реалізації акту на ключові інтереси заінтересованих сторін </w:t>
      </w:r>
    </w:p>
    <w:p w:rsidR="009C2286" w:rsidRPr="00E9776D" w:rsidRDefault="009C2286" w:rsidP="009C228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342E" w:rsidRPr="009F342E" w:rsidRDefault="00CC4D1D" w:rsidP="009F342E">
      <w:pPr>
        <w:pStyle w:val="HTML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776D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97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42E" w:rsidRPr="00D02136">
        <w:rPr>
          <w:rFonts w:ascii="Times New Roman" w:hAnsi="Times New Roman" w:cs="Times New Roman"/>
          <w:bCs/>
          <w:sz w:val="28"/>
          <w:szCs w:val="28"/>
        </w:rPr>
        <w:t>На даний час відсутній порядок взаємодії адміністраці</w:t>
      </w:r>
      <w:r w:rsidR="009F342E">
        <w:rPr>
          <w:rFonts w:ascii="Times New Roman" w:hAnsi="Times New Roman" w:cs="Times New Roman"/>
          <w:bCs/>
          <w:sz w:val="28"/>
          <w:szCs w:val="28"/>
        </w:rPr>
        <w:t>ї</w:t>
      </w:r>
      <w:r w:rsidR="009F342E" w:rsidRPr="00D02136">
        <w:rPr>
          <w:rFonts w:ascii="Times New Roman" w:hAnsi="Times New Roman" w:cs="Times New Roman"/>
          <w:bCs/>
          <w:sz w:val="28"/>
          <w:szCs w:val="28"/>
        </w:rPr>
        <w:t xml:space="preserve"> морських рибних портів, портопунктів, місць базування суден флоту рибної промисловості </w:t>
      </w:r>
      <w:r w:rsidR="009F342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9F342E" w:rsidRPr="00D02136">
        <w:rPr>
          <w:rFonts w:ascii="Times New Roman" w:hAnsi="Times New Roman" w:cs="Times New Roman"/>
          <w:bCs/>
          <w:sz w:val="28"/>
          <w:szCs w:val="28"/>
        </w:rPr>
        <w:t xml:space="preserve">Держекоінспекцією </w:t>
      </w:r>
      <w:r w:rsidR="009F342E">
        <w:rPr>
          <w:rFonts w:ascii="Times New Roman" w:hAnsi="Times New Roman" w:cs="Times New Roman"/>
          <w:bCs/>
          <w:sz w:val="28"/>
          <w:szCs w:val="28"/>
        </w:rPr>
        <w:t xml:space="preserve">із забезпечення дотримання законодавства про </w:t>
      </w:r>
      <w:r w:rsidR="009F342E" w:rsidRPr="009F342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охорону навколишнього природного середовища у разі виявлення випадків скидання суднами (плавзасобами) забруднюючих речовин у межах акваторії порту, портопунктів та місць базування суден.</w:t>
      </w:r>
    </w:p>
    <w:p w:rsidR="009F342E" w:rsidRPr="009F342E" w:rsidRDefault="00CC4D1D" w:rsidP="009F342E">
      <w:pPr>
        <w:pStyle w:val="HTML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7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Пропонується затвердити </w:t>
      </w:r>
      <w:r w:rsidR="009F342E" w:rsidRPr="009F34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</w:t>
      </w:r>
      <w:r w:rsidR="009C2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 w:rsidR="009F342E" w:rsidRPr="009F34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взаємодії адміністрації морських рибних портів, портопунктів, місць базування суден флоту рибної промисловості та Державної екологічної інспекції України із забезпечення дотримання законодавства про охорону навколишнього природного середовища у разі виявлення випадків скидання суднами (плавзасобами) забруднюючих речовин у межах акваторії порту, портопунктів та місць базування суден»</w:t>
      </w:r>
      <w:r w:rsidR="009F34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4D1D" w:rsidRPr="00E9776D" w:rsidRDefault="00CC4D1D" w:rsidP="00E9776D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6D">
        <w:rPr>
          <w:rFonts w:ascii="Times New Roman" w:hAnsi="Times New Roman" w:cs="Times New Roman"/>
          <w:sz w:val="28"/>
          <w:szCs w:val="28"/>
        </w:rPr>
        <w:t>Прийняття про</w:t>
      </w:r>
      <w:r w:rsidR="009F342E">
        <w:rPr>
          <w:rFonts w:ascii="Times New Roman" w:hAnsi="Times New Roman" w:cs="Times New Roman"/>
          <w:sz w:val="28"/>
          <w:szCs w:val="28"/>
        </w:rPr>
        <w:t>є</w:t>
      </w:r>
      <w:r w:rsidRPr="00E9776D">
        <w:rPr>
          <w:rFonts w:ascii="Times New Roman" w:hAnsi="Times New Roman" w:cs="Times New Roman"/>
          <w:sz w:val="28"/>
          <w:szCs w:val="28"/>
        </w:rPr>
        <w:t xml:space="preserve">кту акту забезпечить: </w:t>
      </w:r>
    </w:p>
    <w:p w:rsidR="009F342E" w:rsidRDefault="009F342E" w:rsidP="009F342E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взаємодію та встановлення чітких дій </w:t>
      </w:r>
      <w:r w:rsidRPr="004255AF">
        <w:rPr>
          <w:rFonts w:ascii="Times New Roman" w:eastAsia="Times New Roman" w:hAnsi="Times New Roman" w:cs="Times New Roman"/>
          <w:sz w:val="28"/>
          <w:szCs w:val="28"/>
        </w:rPr>
        <w:t xml:space="preserve">державних інспекторів з охорони навколишнього природного середовища та </w:t>
      </w:r>
      <w:r w:rsidRPr="00E438FD">
        <w:rPr>
          <w:rFonts w:ascii="Times New Roman" w:hAnsi="Times New Roman"/>
          <w:bCs/>
          <w:sz w:val="28"/>
          <w:szCs w:val="28"/>
        </w:rPr>
        <w:t>адміністрації морських рибних портів, портопунктів, місць базування суден флоту рибної промисловості</w:t>
      </w:r>
      <w:r w:rsidRPr="0042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5AF">
        <w:rPr>
          <w:rFonts w:ascii="Times New Roman" w:eastAsia="Calibri" w:hAnsi="Times New Roman" w:cs="Times New Roman"/>
          <w:bCs/>
          <w:sz w:val="28"/>
          <w:szCs w:val="28"/>
        </w:rPr>
        <w:t>у разі виявлення випадків скидання суднами (плавзасобами) забруднюючих речовин у межах акваторії порту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255AF">
        <w:rPr>
          <w:rFonts w:ascii="Times New Roman" w:hAnsi="Times New Roman"/>
          <w:bCs/>
          <w:sz w:val="28"/>
          <w:szCs w:val="28"/>
        </w:rPr>
        <w:t xml:space="preserve"> </w:t>
      </w:r>
      <w:r w:rsidRPr="00E438FD">
        <w:rPr>
          <w:rFonts w:ascii="Times New Roman" w:hAnsi="Times New Roman"/>
          <w:bCs/>
          <w:sz w:val="28"/>
          <w:szCs w:val="28"/>
        </w:rPr>
        <w:t>портопунктів та місць базування суден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C4D1D" w:rsidRPr="00E9776D" w:rsidRDefault="00CC4D1D" w:rsidP="00E9776D">
      <w:pPr>
        <w:pStyle w:val="HTML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76D">
        <w:rPr>
          <w:rFonts w:ascii="Times New Roman" w:hAnsi="Times New Roman" w:cs="Times New Roman"/>
          <w:sz w:val="28"/>
          <w:szCs w:val="28"/>
          <w:lang w:val="uk-UA"/>
        </w:rPr>
        <w:t>відновлення екологічної рівноваги в територіальних та внутрішніх морських водах в комплексі з заходами організаційного, правового, та економічного впливу;</w:t>
      </w:r>
    </w:p>
    <w:p w:rsidR="00CC4D1D" w:rsidRPr="00E9776D" w:rsidRDefault="00CC4D1D" w:rsidP="00E9776D">
      <w:pPr>
        <w:pStyle w:val="HTML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76D">
        <w:rPr>
          <w:rFonts w:ascii="Times New Roman" w:hAnsi="Times New Roman" w:cs="Times New Roman"/>
          <w:sz w:val="28"/>
          <w:szCs w:val="28"/>
          <w:lang w:val="uk-UA"/>
        </w:rPr>
        <w:t>зменшення ризику корупційних зловживань.</w:t>
      </w:r>
    </w:p>
    <w:p w:rsidR="00CC4D1D" w:rsidRPr="00E9776D" w:rsidRDefault="00CC4D1D" w:rsidP="00E9776D">
      <w:pPr>
        <w:pStyle w:val="HTML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C4D1D" w:rsidRPr="00E9776D" w:rsidRDefault="00CC4D1D" w:rsidP="00E9776D">
      <w:pPr>
        <w:ind w:right="-142" w:firstLine="72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9776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2. Вплив на ключові інтереси усіх заінтересованих сторін</w:t>
      </w: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9"/>
        <w:gridCol w:w="2127"/>
        <w:gridCol w:w="1275"/>
        <w:gridCol w:w="1276"/>
        <w:gridCol w:w="3260"/>
      </w:tblGrid>
      <w:tr w:rsidR="00CC4D1D" w:rsidRPr="00E9776D" w:rsidTr="009C2286">
        <w:trPr>
          <w:trHeight w:val="282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1D" w:rsidRPr="009C2286" w:rsidRDefault="00CC4D1D" w:rsidP="009C228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Заінтересована сторона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1D" w:rsidRPr="009C2286" w:rsidRDefault="00CC4D1D" w:rsidP="009C228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Ключовий</w:t>
            </w:r>
          </w:p>
          <w:p w:rsidR="00CC4D1D" w:rsidRPr="009C2286" w:rsidRDefault="00CC4D1D" w:rsidP="009C228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інтерес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1D" w:rsidRPr="009C2286" w:rsidRDefault="00CC4D1D" w:rsidP="009C228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(у числовому чи якісному вимірі)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1D" w:rsidRPr="009C2286" w:rsidRDefault="00CC4D1D" w:rsidP="00E9776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Пояснення (чому саме реалізація акту призведе до очікуваного впливу)</w:t>
            </w:r>
          </w:p>
        </w:tc>
      </w:tr>
      <w:tr w:rsidR="00CC4D1D" w:rsidRPr="00E9776D" w:rsidTr="009C22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1D" w:rsidRPr="009C2286" w:rsidRDefault="00CC4D1D" w:rsidP="009C2286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1D" w:rsidRPr="009C2286" w:rsidRDefault="00CC4D1D" w:rsidP="009C2286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1D" w:rsidRPr="009C2286" w:rsidRDefault="00CC4D1D" w:rsidP="009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короткостроковий вплив (до року)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1D" w:rsidRPr="009C2286" w:rsidRDefault="00CC4D1D" w:rsidP="009C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середньостроковий вплив (більше </w:t>
            </w:r>
            <w:r w:rsidRPr="009C2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року)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1D" w:rsidRPr="00E9776D" w:rsidRDefault="00CC4D1D" w:rsidP="00E9776D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71B" w:rsidRPr="00E9776D" w:rsidTr="009C228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1B" w:rsidRPr="00E9776D" w:rsidRDefault="0089671B" w:rsidP="0089671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Судновласники щодо яких виявлено факти забруднення територіальних і внутрішніх морських вод України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1B" w:rsidRPr="00E9776D" w:rsidRDefault="0089671B" w:rsidP="00896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Встановлення прозорої системи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перевірок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1B" w:rsidRPr="00D02136" w:rsidRDefault="0089671B" w:rsidP="009C2286">
            <w:pPr>
              <w:spacing w:after="0" w:line="0" w:lineRule="atLeast"/>
              <w:ind w:right="128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2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Прийняття акта дозволить встановити чіткий та єдиний </w:t>
            </w:r>
            <w:r w:rsidR="009C22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дій контролюючих органів </w:t>
            </w:r>
            <w:r w:rsidRPr="00D0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разі </w:t>
            </w:r>
            <w:r w:rsidRPr="00D02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виявлення випадків скидання суднами (плавзасобами) </w:t>
            </w:r>
            <w:r w:rsidR="009C22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D02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абруднюючих речовин у межах акваторії порту, </w:t>
            </w:r>
            <w:r w:rsidRPr="00D02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портопунктів та місць базування суден</w:t>
            </w:r>
          </w:p>
          <w:p w:rsidR="0089671B" w:rsidRPr="00D02136" w:rsidRDefault="0089671B" w:rsidP="0089671B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71B" w:rsidRPr="00E9776D" w:rsidTr="009C2286">
        <w:trPr>
          <w:trHeight w:val="1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9C2286" w:rsidP="009C2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Посадові особи </w:t>
            </w:r>
            <w:r w:rsidR="0089671B" w:rsidRPr="00E9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Держекоінспекції та її територіальних та міжрегіональних територіальних органів, що здійснюють перевірки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9C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 морських рибних портів, портопунктів, місць базування суден флоту рибної промисловості</w:t>
            </w: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71B" w:rsidRPr="00E9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(десятки людей)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pStyle w:val="HTML"/>
              <w:ind w:righ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213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uk-UA"/>
              </w:rPr>
              <w:t>Здійснення повноважень відповідно до норм чинного законодавства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89671B" w:rsidRDefault="0089671B" w:rsidP="0089671B">
            <w:pPr>
              <w:spacing w:after="0" w:line="240" w:lineRule="auto"/>
              <w:ind w:right="38"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Зменшення ризику корупційних зловживань. </w:t>
            </w:r>
          </w:p>
          <w:p w:rsidR="0089671B" w:rsidRPr="00E9776D" w:rsidRDefault="0089671B" w:rsidP="0089671B">
            <w:pPr>
              <w:spacing w:after="0" w:line="240" w:lineRule="auto"/>
              <w:ind w:right="38"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Відновлення екологічної рівноваги в територіальних та внутрішніх морських водах в комплексі з заходами організаційного, правового, та економічного впливу.</w:t>
            </w:r>
          </w:p>
        </w:tc>
      </w:tr>
      <w:tr w:rsidR="0089671B" w:rsidRPr="00E9776D" w:rsidTr="009C2286">
        <w:trPr>
          <w:trHeight w:val="1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Державна </w:t>
            </w: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регуляторна служба України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Дерегуляція господарської діяльності</w:t>
            </w:r>
          </w:p>
          <w:p w:rsidR="0089671B" w:rsidRPr="00E9776D" w:rsidRDefault="0089671B" w:rsidP="0089671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E9776D" w:rsidRDefault="0089671B" w:rsidP="00896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1B" w:rsidRPr="0089671B" w:rsidRDefault="0089671B" w:rsidP="009C2286">
            <w:pPr>
              <w:spacing w:after="0" w:line="240" w:lineRule="auto"/>
              <w:ind w:right="38"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Внаслідок прийняття про</w:t>
            </w:r>
            <w:r w:rsidR="009C2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</w:t>
            </w:r>
            <w:r w:rsidR="009C22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 буде </w:t>
            </w:r>
            <w:r w:rsidRPr="0089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зменшено регуляторний тиск шляхом визначення </w:t>
            </w:r>
            <w:r w:rsidRPr="00E97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єдиного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порядку дій </w:t>
            </w:r>
            <w:r w:rsidRPr="0089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адміністрації морських рибних портів, портопунктів, місць базування суден флоту рибної промисловості та Державної екологічної інспекції України із забезпечення дотримання законодавства про охорону навколишнього природного середовища у разі виявлення випадків скидання суднами (плавзасобами) </w:t>
            </w:r>
            <w:r w:rsidRPr="0089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забруднюючих речовин у межах акваторії порту, портопунктів та місць базування суден</w:t>
            </w:r>
          </w:p>
        </w:tc>
      </w:tr>
    </w:tbl>
    <w:p w:rsidR="00CC4D1D" w:rsidRPr="00E9776D" w:rsidRDefault="00CC4D1D" w:rsidP="0089671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sectPr w:rsidR="00CC4D1D" w:rsidRPr="00E9776D" w:rsidSect="00E9776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39" w:rsidRDefault="00243939" w:rsidP="004F60AF">
      <w:pPr>
        <w:spacing w:after="0" w:line="240" w:lineRule="auto"/>
      </w:pPr>
      <w:r>
        <w:separator/>
      </w:r>
    </w:p>
  </w:endnote>
  <w:endnote w:type="continuationSeparator" w:id="0">
    <w:p w:rsidR="00243939" w:rsidRDefault="00243939" w:rsidP="004F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39" w:rsidRDefault="00243939" w:rsidP="004F60AF">
      <w:pPr>
        <w:spacing w:after="0" w:line="240" w:lineRule="auto"/>
      </w:pPr>
      <w:r>
        <w:separator/>
      </w:r>
    </w:p>
  </w:footnote>
  <w:footnote w:type="continuationSeparator" w:id="0">
    <w:p w:rsidR="00243939" w:rsidRDefault="00243939" w:rsidP="004F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333572"/>
      <w:docPartObj>
        <w:docPartGallery w:val="Page Numbers (Top of Page)"/>
        <w:docPartUnique/>
      </w:docPartObj>
    </w:sdtPr>
    <w:sdtEndPr/>
    <w:sdtContent>
      <w:p w:rsidR="004F60AF" w:rsidRDefault="004F60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A4" w:rsidRPr="005F04A4">
          <w:rPr>
            <w:noProof/>
            <w:lang w:val="ru-RU"/>
          </w:rPr>
          <w:t>4</w:t>
        </w:r>
        <w:r>
          <w:fldChar w:fldCharType="end"/>
        </w:r>
      </w:p>
    </w:sdtContent>
  </w:sdt>
  <w:p w:rsidR="004F60AF" w:rsidRDefault="004F60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2EE"/>
    <w:multiLevelType w:val="hybridMultilevel"/>
    <w:tmpl w:val="93FA67E0"/>
    <w:lvl w:ilvl="0" w:tplc="EAA0817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64040"/>
    <w:multiLevelType w:val="hybridMultilevel"/>
    <w:tmpl w:val="913E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35CEE"/>
    <w:multiLevelType w:val="hybridMultilevel"/>
    <w:tmpl w:val="C0C6237A"/>
    <w:lvl w:ilvl="0" w:tplc="B2E0D10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B056A81"/>
    <w:multiLevelType w:val="hybridMultilevel"/>
    <w:tmpl w:val="E9063188"/>
    <w:lvl w:ilvl="0" w:tplc="E6A04A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5AF"/>
    <w:rsid w:val="000529F7"/>
    <w:rsid w:val="0010348B"/>
    <w:rsid w:val="00211C5B"/>
    <w:rsid w:val="00243939"/>
    <w:rsid w:val="00267745"/>
    <w:rsid w:val="002B7A84"/>
    <w:rsid w:val="002D698B"/>
    <w:rsid w:val="003027A1"/>
    <w:rsid w:val="003D3639"/>
    <w:rsid w:val="003E7FC1"/>
    <w:rsid w:val="00404A96"/>
    <w:rsid w:val="004255AF"/>
    <w:rsid w:val="00464C45"/>
    <w:rsid w:val="004A4E15"/>
    <w:rsid w:val="004C63AC"/>
    <w:rsid w:val="004E6192"/>
    <w:rsid w:val="004F60AF"/>
    <w:rsid w:val="00523889"/>
    <w:rsid w:val="005575C1"/>
    <w:rsid w:val="005C2227"/>
    <w:rsid w:val="005F04A4"/>
    <w:rsid w:val="00616410"/>
    <w:rsid w:val="0062124B"/>
    <w:rsid w:val="007E4E13"/>
    <w:rsid w:val="008469C8"/>
    <w:rsid w:val="0089671B"/>
    <w:rsid w:val="008A38CA"/>
    <w:rsid w:val="009C2286"/>
    <w:rsid w:val="009F342E"/>
    <w:rsid w:val="00AF0571"/>
    <w:rsid w:val="00B20BE6"/>
    <w:rsid w:val="00B85FB9"/>
    <w:rsid w:val="00BA3BC9"/>
    <w:rsid w:val="00BB206E"/>
    <w:rsid w:val="00C27BCF"/>
    <w:rsid w:val="00CB5594"/>
    <w:rsid w:val="00CC4D1D"/>
    <w:rsid w:val="00D14ACF"/>
    <w:rsid w:val="00D86C88"/>
    <w:rsid w:val="00DC418B"/>
    <w:rsid w:val="00DE3EA2"/>
    <w:rsid w:val="00E9776D"/>
    <w:rsid w:val="00EA7FAB"/>
    <w:rsid w:val="00ED3720"/>
    <w:rsid w:val="00ED752B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1DC2"/>
  <w15:docId w15:val="{3330B5F0-6315-468A-819D-DB5E43D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4E61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E6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6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6192"/>
  </w:style>
  <w:style w:type="paragraph" w:customStyle="1" w:styleId="rvps2">
    <w:name w:val="rvps2"/>
    <w:basedOn w:val="a"/>
    <w:rsid w:val="004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E6192"/>
    <w:rPr>
      <w:color w:val="0000FF"/>
      <w:u w:val="single"/>
    </w:rPr>
  </w:style>
  <w:style w:type="character" w:customStyle="1" w:styleId="rvts46">
    <w:name w:val="rvts46"/>
    <w:basedOn w:val="a0"/>
    <w:rsid w:val="004E6192"/>
  </w:style>
  <w:style w:type="paragraph" w:styleId="a9">
    <w:name w:val="header"/>
    <w:basedOn w:val="a"/>
    <w:link w:val="aa"/>
    <w:uiPriority w:val="99"/>
    <w:unhideWhenUsed/>
    <w:rsid w:val="004F60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0AF"/>
  </w:style>
  <w:style w:type="paragraph" w:styleId="ab">
    <w:name w:val="footer"/>
    <w:basedOn w:val="a"/>
    <w:link w:val="ac"/>
    <w:uiPriority w:val="99"/>
    <w:unhideWhenUsed/>
    <w:rsid w:val="004F60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0AF"/>
  </w:style>
  <w:style w:type="paragraph" w:styleId="HTML">
    <w:name w:val="HTML Preformatted"/>
    <w:basedOn w:val="a"/>
    <w:link w:val="HTML0"/>
    <w:uiPriority w:val="99"/>
    <w:unhideWhenUsed/>
    <w:rsid w:val="00D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41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C27BC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7BCF"/>
  </w:style>
  <w:style w:type="character" w:customStyle="1" w:styleId="rvts0">
    <w:name w:val="rvts0"/>
    <w:basedOn w:val="a0"/>
    <w:rsid w:val="00C2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6977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28</cp:revision>
  <cp:lastPrinted>2018-11-06T10:47:00Z</cp:lastPrinted>
  <dcterms:created xsi:type="dcterms:W3CDTF">2018-11-06T10:33:00Z</dcterms:created>
  <dcterms:modified xsi:type="dcterms:W3CDTF">2020-09-30T10:23:00Z</dcterms:modified>
</cp:coreProperties>
</file>