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CE" w:rsidRPr="00B45F2F" w:rsidRDefault="004A0D8E" w:rsidP="00774483">
      <w:pPr>
        <w:shd w:val="clear" w:color="auto" w:fill="FFFFFF"/>
        <w:ind w:left="126" w:right="104"/>
        <w:jc w:val="center"/>
        <w:textAlignment w:val="baseline"/>
        <w:rPr>
          <w:sz w:val="28"/>
          <w:szCs w:val="28"/>
        </w:rPr>
      </w:pPr>
      <w:r w:rsidRPr="00B45F2F">
        <w:rPr>
          <w:sz w:val="28"/>
          <w:szCs w:val="28"/>
        </w:rPr>
        <w:t>П</w:t>
      </w:r>
      <w:r w:rsidRPr="00B45F2F">
        <w:rPr>
          <w:rFonts w:eastAsia="Times New Roman"/>
          <w:snapToGrid w:val="0"/>
          <w:sz w:val="28"/>
          <w:szCs w:val="28"/>
        </w:rPr>
        <w:t>осада державної служби категорії “В” Держекоінспекції –  г</w:t>
      </w:r>
      <w:r w:rsidR="00EA168D" w:rsidRPr="00B45F2F">
        <w:rPr>
          <w:rFonts w:eastAsia="Times New Roman"/>
          <w:snapToGrid w:val="0"/>
          <w:sz w:val="28"/>
          <w:szCs w:val="28"/>
        </w:rPr>
        <w:t>оловний спеціаліст</w:t>
      </w:r>
      <w:r w:rsidR="00D52FD6" w:rsidRPr="00B45F2F">
        <w:rPr>
          <w:rFonts w:eastAsia="Times New Roman"/>
          <w:snapToGrid w:val="0"/>
          <w:sz w:val="28"/>
          <w:szCs w:val="28"/>
        </w:rPr>
        <w:t xml:space="preserve"> </w:t>
      </w:r>
      <w:r w:rsidR="00D87515" w:rsidRPr="00B45F2F">
        <w:rPr>
          <w:sz w:val="28"/>
          <w:szCs w:val="28"/>
        </w:rPr>
        <w:t xml:space="preserve">відділу державного екологічного нагляду (контролю) </w:t>
      </w:r>
      <w:r w:rsidR="00EC0BBD" w:rsidRPr="00B45F2F">
        <w:rPr>
          <w:sz w:val="28"/>
          <w:szCs w:val="28"/>
        </w:rPr>
        <w:t>за поводженням з відходами та небезпечними хімічними речовинами</w:t>
      </w:r>
      <w:r w:rsidR="00D87515" w:rsidRPr="00B45F2F">
        <w:rPr>
          <w:sz w:val="28"/>
          <w:szCs w:val="28"/>
        </w:rPr>
        <w:t xml:space="preserve"> </w:t>
      </w:r>
      <w:r w:rsidR="00F26C46" w:rsidRPr="00B45F2F">
        <w:rPr>
          <w:sz w:val="28"/>
          <w:szCs w:val="28"/>
        </w:rPr>
        <w:t xml:space="preserve">Департаменту </w:t>
      </w:r>
      <w:r w:rsidR="00D87515" w:rsidRPr="00B45F2F">
        <w:rPr>
          <w:sz w:val="28"/>
          <w:szCs w:val="28"/>
        </w:rPr>
        <w:t>державного екологічного нагляду (контролю)</w:t>
      </w:r>
      <w:r w:rsidR="00EA168D" w:rsidRPr="00B45F2F">
        <w:rPr>
          <w:sz w:val="28"/>
          <w:szCs w:val="28"/>
        </w:rPr>
        <w:t xml:space="preserve"> – державний інспектор </w:t>
      </w:r>
      <w:r w:rsidR="001F7247" w:rsidRPr="00B45F2F">
        <w:rPr>
          <w:sz w:val="28"/>
          <w:szCs w:val="28"/>
        </w:rPr>
        <w:t xml:space="preserve">України з охорони </w:t>
      </w:r>
      <w:r w:rsidR="00DB5230" w:rsidRPr="00B45F2F">
        <w:rPr>
          <w:sz w:val="28"/>
          <w:szCs w:val="28"/>
        </w:rPr>
        <w:t xml:space="preserve">                              </w:t>
      </w:r>
      <w:r w:rsidR="001F7247" w:rsidRPr="00B45F2F">
        <w:rPr>
          <w:sz w:val="28"/>
          <w:szCs w:val="28"/>
        </w:rPr>
        <w:t>навколишнього природного середовища</w:t>
      </w:r>
      <w:r w:rsidR="00774483" w:rsidRPr="00B45F2F">
        <w:rPr>
          <w:sz w:val="28"/>
          <w:szCs w:val="28"/>
        </w:rPr>
        <w:t xml:space="preserve"> </w:t>
      </w:r>
    </w:p>
    <w:p w:rsidR="00D2310F" w:rsidRPr="00B45F2F" w:rsidRDefault="00D2310F" w:rsidP="00774483">
      <w:pPr>
        <w:shd w:val="clear" w:color="auto" w:fill="FFFFFF"/>
        <w:ind w:left="126" w:right="104"/>
        <w:jc w:val="center"/>
        <w:textAlignment w:val="baseline"/>
        <w:rPr>
          <w:sz w:val="28"/>
          <w:szCs w:val="28"/>
        </w:rPr>
      </w:pPr>
    </w:p>
    <w:p w:rsidR="004A10A8" w:rsidRPr="00B45F2F" w:rsidRDefault="004A10A8" w:rsidP="004A10A8">
      <w:pPr>
        <w:jc w:val="center"/>
        <w:rPr>
          <w:sz w:val="16"/>
          <w:szCs w:val="16"/>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628"/>
      </w:tblGrid>
      <w:tr w:rsidR="00B45F2F" w:rsidRPr="00B45F2F" w:rsidTr="00D804DA">
        <w:tc>
          <w:tcPr>
            <w:tcW w:w="10628" w:type="dxa"/>
          </w:tcPr>
          <w:p w:rsidR="00382737" w:rsidRPr="00B45F2F" w:rsidRDefault="00DB5230" w:rsidP="00DB5230">
            <w:pPr>
              <w:ind w:left="122" w:right="128"/>
              <w:rPr>
                <w:b/>
                <w:bCs/>
                <w:spacing w:val="-2"/>
                <w:sz w:val="28"/>
                <w:szCs w:val="28"/>
                <w:lang w:val="en-US"/>
              </w:rPr>
            </w:pPr>
            <w:r w:rsidRPr="00B45F2F">
              <w:rPr>
                <w:b/>
                <w:sz w:val="28"/>
                <w:szCs w:val="28"/>
              </w:rPr>
              <w:t>Основні по</w:t>
            </w:r>
            <w:r w:rsidR="00382737" w:rsidRPr="00B45F2F">
              <w:rPr>
                <w:b/>
                <w:sz w:val="28"/>
                <w:szCs w:val="28"/>
              </w:rPr>
              <w:t>садові обов’язки</w:t>
            </w:r>
            <w:r w:rsidR="005869C3" w:rsidRPr="00B45F2F">
              <w:rPr>
                <w:b/>
                <w:sz w:val="28"/>
                <w:szCs w:val="28"/>
                <w:lang w:val="en-US"/>
              </w:rPr>
              <w:t>:</w:t>
            </w:r>
          </w:p>
        </w:tc>
      </w:tr>
      <w:tr w:rsidR="00B45F2F" w:rsidRPr="00B45F2F" w:rsidTr="00D804DA">
        <w:tc>
          <w:tcPr>
            <w:tcW w:w="10628" w:type="dxa"/>
          </w:tcPr>
          <w:p w:rsidR="00DB5230" w:rsidRPr="00B45F2F" w:rsidRDefault="00315BD0" w:rsidP="00DB5230">
            <w:pPr>
              <w:ind w:left="74" w:right="118"/>
              <w:jc w:val="both"/>
              <w:rPr>
                <w:sz w:val="28"/>
                <w:szCs w:val="28"/>
                <w:bdr w:val="none" w:sz="0" w:space="0" w:color="auto" w:frame="1"/>
              </w:rPr>
            </w:pPr>
            <w:r w:rsidRPr="00B45F2F">
              <w:rPr>
                <w:bCs/>
                <w:spacing w:val="-2"/>
                <w:sz w:val="28"/>
                <w:szCs w:val="28"/>
              </w:rPr>
              <w:t>1)</w:t>
            </w:r>
            <w:r w:rsidR="00DB5230" w:rsidRPr="00B45F2F">
              <w:rPr>
                <w:bCs/>
                <w:spacing w:val="-2"/>
                <w:sz w:val="28"/>
                <w:szCs w:val="28"/>
              </w:rPr>
              <w:t xml:space="preserve"> з</w:t>
            </w:r>
            <w:r w:rsidR="00DB5230" w:rsidRPr="00B45F2F">
              <w:rPr>
                <w:sz w:val="28"/>
                <w:szCs w:val="28"/>
              </w:rPr>
              <w:t>дійснення державного нагляду (контролю)</w:t>
            </w:r>
            <w:r w:rsidR="00DB5230" w:rsidRPr="00B45F2F">
              <w:rPr>
                <w:rStyle w:val="a4"/>
                <w:rFonts w:eastAsia="Calibri"/>
                <w:lang w:val="uk-UA"/>
              </w:rPr>
              <w:t xml:space="preserve"> за додержанням територіальними та міжрегіональними територіальними органами Держекоінспекції,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w:t>
            </w:r>
            <w:r w:rsidR="00A10D9F" w:rsidRPr="00B45F2F">
              <w:rPr>
                <w:rStyle w:val="a4"/>
                <w:rFonts w:eastAsia="Calibri"/>
                <w:lang w:val="uk-UA"/>
              </w:rPr>
              <w:t xml:space="preserve">їм повноважень </w:t>
            </w:r>
            <w:r w:rsidR="00DB5230" w:rsidRPr="00B45F2F">
              <w:rPr>
                <w:rStyle w:val="a4"/>
                <w:rFonts w:eastAsia="Calibri"/>
                <w:lang w:val="uk-UA"/>
              </w:rPr>
              <w:t>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w:t>
            </w:r>
            <w:r w:rsidR="00A10D9F" w:rsidRPr="00B45F2F">
              <w:rPr>
                <w:rStyle w:val="a4"/>
                <w:rFonts w:eastAsia="Calibri"/>
                <w:lang w:val="uk-UA"/>
              </w:rPr>
              <w:t>ними</w:t>
            </w:r>
            <w:r w:rsidR="00DB5230" w:rsidRPr="00B45F2F">
              <w:rPr>
                <w:rStyle w:val="a4"/>
                <w:rFonts w:eastAsia="Calibri"/>
                <w:lang w:val="uk-UA"/>
              </w:rPr>
              <w:t xml:space="preserve"> особами – нерезидентами вимог </w:t>
            </w:r>
            <w:r w:rsidR="002575DE" w:rsidRPr="00B45F2F">
              <w:rPr>
                <w:rStyle w:val="a4"/>
                <w:rFonts w:eastAsia="Calibri"/>
                <w:lang w:val="uk-UA"/>
              </w:rPr>
              <w:t xml:space="preserve">природоохоронного </w:t>
            </w:r>
            <w:r w:rsidR="00DB5230" w:rsidRPr="00B45F2F">
              <w:rPr>
                <w:rStyle w:val="a4"/>
                <w:rFonts w:eastAsia="Calibri"/>
                <w:lang w:val="uk-UA"/>
              </w:rPr>
              <w:t>законодавства</w:t>
            </w:r>
            <w:r w:rsidR="002575DE" w:rsidRPr="00B45F2F">
              <w:rPr>
                <w:rStyle w:val="a4"/>
                <w:rFonts w:eastAsia="Calibri"/>
                <w:lang w:val="uk-UA"/>
              </w:rPr>
              <w:t xml:space="preserve"> у сфері поводження з відходами (крім поводження з радіоактивними відходами), небезпечними хімічними речовинами, пестицидами та агрохімікатами</w:t>
            </w:r>
            <w:r w:rsidR="002575DE" w:rsidRPr="00B45F2F">
              <w:rPr>
                <w:rStyle w:val="a4"/>
                <w:rFonts w:eastAsia="Calibri"/>
              </w:rPr>
              <w:t>;</w:t>
            </w:r>
            <w:r w:rsidR="002575DE" w:rsidRPr="00B45F2F">
              <w:rPr>
                <w:rStyle w:val="a4"/>
                <w:rFonts w:eastAsia="Calibri"/>
                <w:lang w:val="uk-UA"/>
              </w:rPr>
              <w:t xml:space="preserve"> здійснення операцій з металобрухтом</w:t>
            </w:r>
            <w:r w:rsidR="00DB5230" w:rsidRPr="00B45F2F">
              <w:rPr>
                <w:rStyle w:val="a4"/>
                <w:rFonts w:eastAsia="Calibri"/>
                <w:lang w:val="uk-UA"/>
              </w:rPr>
              <w:t>;</w:t>
            </w:r>
          </w:p>
          <w:p w:rsidR="00DB5230" w:rsidRPr="00B45F2F" w:rsidRDefault="002575DE" w:rsidP="00DB5230">
            <w:pPr>
              <w:shd w:val="clear" w:color="auto" w:fill="FFFFFF"/>
              <w:tabs>
                <w:tab w:val="left" w:pos="1258"/>
              </w:tabs>
              <w:ind w:left="74" w:right="118"/>
              <w:jc w:val="both"/>
              <w:rPr>
                <w:sz w:val="28"/>
                <w:szCs w:val="28"/>
              </w:rPr>
            </w:pPr>
            <w:r w:rsidRPr="00B45F2F">
              <w:rPr>
                <w:sz w:val="28"/>
                <w:szCs w:val="28"/>
              </w:rPr>
              <w:t xml:space="preserve">2) здійснює перевірки діяльності територіальних та міжрегіональних територіальних органів Держекоінспекції в частині організації здійснення державного </w:t>
            </w:r>
            <w:r w:rsidR="00DB5230" w:rsidRPr="00B45F2F">
              <w:rPr>
                <w:sz w:val="28"/>
                <w:szCs w:val="28"/>
              </w:rPr>
              <w:t xml:space="preserve">нагляду (контролю) </w:t>
            </w:r>
            <w:r w:rsidRPr="00B45F2F">
              <w:rPr>
                <w:sz w:val="28"/>
                <w:szCs w:val="28"/>
              </w:rPr>
              <w:t>у сфері поводження з відходами (крім поводження з радіоактивними відходами), небезпечними хімічними речовинами, пестицидами та агрохімікатами; здійснення  операцій з металобрухтом</w:t>
            </w:r>
            <w:r w:rsidR="00DB5230" w:rsidRPr="00B45F2F">
              <w:rPr>
                <w:sz w:val="28"/>
                <w:szCs w:val="28"/>
              </w:rPr>
              <w:t>;</w:t>
            </w:r>
          </w:p>
          <w:p w:rsidR="00382737" w:rsidRPr="00B45F2F" w:rsidRDefault="00DB5230" w:rsidP="00194D39">
            <w:pPr>
              <w:shd w:val="clear" w:color="auto" w:fill="FFFFFF"/>
              <w:tabs>
                <w:tab w:val="left" w:pos="1246"/>
              </w:tabs>
              <w:ind w:left="74" w:right="118"/>
              <w:jc w:val="both"/>
              <w:rPr>
                <w:sz w:val="28"/>
                <w:szCs w:val="28"/>
              </w:rPr>
            </w:pPr>
            <w:r w:rsidRPr="00B45F2F">
              <w:rPr>
                <w:spacing w:val="-1"/>
                <w:sz w:val="28"/>
                <w:szCs w:val="28"/>
              </w:rPr>
              <w:t xml:space="preserve">3) </w:t>
            </w:r>
            <w:r w:rsidR="00AE1D93" w:rsidRPr="00B45F2F">
              <w:rPr>
                <w:sz w:val="28"/>
                <w:szCs w:val="28"/>
              </w:rPr>
              <w:t xml:space="preserve">розгляд, в межах повноважень, доручень Президента України, Верховної Ради України, Кабінету Міністрів України, депутатських запитів та звернень, запитів на </w:t>
            </w:r>
            <w:r w:rsidR="00194D39" w:rsidRPr="00B45F2F">
              <w:rPr>
                <w:sz w:val="28"/>
                <w:szCs w:val="28"/>
              </w:rPr>
              <w:t xml:space="preserve">доступ до </w:t>
            </w:r>
            <w:r w:rsidR="00AE1D93" w:rsidRPr="00B45F2F">
              <w:rPr>
                <w:sz w:val="28"/>
                <w:szCs w:val="28"/>
              </w:rPr>
              <w:t>публічної інформації,</w:t>
            </w:r>
            <w:r w:rsidR="00194D39" w:rsidRPr="00B45F2F">
              <w:rPr>
                <w:sz w:val="28"/>
                <w:szCs w:val="28"/>
              </w:rPr>
              <w:t xml:space="preserve"> звернень громадян, підп</w:t>
            </w:r>
            <w:r w:rsidR="00AE1D93" w:rsidRPr="00B45F2F">
              <w:rPr>
                <w:sz w:val="28"/>
                <w:szCs w:val="28"/>
              </w:rPr>
              <w:t xml:space="preserve">риємств, установ та організацій </w:t>
            </w:r>
            <w:r w:rsidR="00194D39" w:rsidRPr="00B45F2F">
              <w:rPr>
                <w:sz w:val="28"/>
                <w:szCs w:val="28"/>
              </w:rPr>
              <w:t xml:space="preserve">незалежно </w:t>
            </w:r>
            <w:r w:rsidR="00AE1D93" w:rsidRPr="00B45F2F">
              <w:rPr>
                <w:sz w:val="28"/>
                <w:szCs w:val="28"/>
              </w:rPr>
              <w:t>від форм власності</w:t>
            </w:r>
            <w:r w:rsidR="00020116">
              <w:rPr>
                <w:sz w:val="28"/>
                <w:szCs w:val="28"/>
              </w:rPr>
              <w:t>, підготовка</w:t>
            </w:r>
            <w:r w:rsidR="00194D39" w:rsidRPr="00B45F2F">
              <w:rPr>
                <w:sz w:val="28"/>
                <w:szCs w:val="28"/>
              </w:rPr>
              <w:t xml:space="preserve"> проект</w:t>
            </w:r>
            <w:r w:rsidR="00020116">
              <w:rPr>
                <w:sz w:val="28"/>
                <w:szCs w:val="28"/>
              </w:rPr>
              <w:t>ів</w:t>
            </w:r>
            <w:r w:rsidR="00194D39" w:rsidRPr="00B45F2F">
              <w:rPr>
                <w:sz w:val="28"/>
                <w:szCs w:val="28"/>
              </w:rPr>
              <w:t xml:space="preserve"> </w:t>
            </w:r>
            <w:bookmarkStart w:id="0" w:name="_GoBack"/>
            <w:bookmarkEnd w:id="0"/>
            <w:r w:rsidR="00194D39" w:rsidRPr="00B45F2F">
              <w:rPr>
                <w:sz w:val="28"/>
                <w:szCs w:val="28"/>
              </w:rPr>
              <w:t>відповідей на них</w:t>
            </w:r>
            <w:r w:rsidR="00AE1D93" w:rsidRPr="00B45F2F">
              <w:rPr>
                <w:sz w:val="28"/>
                <w:szCs w:val="28"/>
              </w:rPr>
              <w:t>;</w:t>
            </w:r>
          </w:p>
          <w:p w:rsidR="00955715" w:rsidRDefault="00955715" w:rsidP="00955715">
            <w:pPr>
              <w:shd w:val="clear" w:color="auto" w:fill="FFFFFF"/>
              <w:tabs>
                <w:tab w:val="left" w:pos="1246"/>
              </w:tabs>
              <w:ind w:left="74" w:right="118"/>
              <w:jc w:val="both"/>
              <w:rPr>
                <w:spacing w:val="-1"/>
                <w:sz w:val="28"/>
                <w:szCs w:val="28"/>
              </w:rPr>
            </w:pPr>
            <w:r w:rsidRPr="00B45F2F">
              <w:rPr>
                <w:spacing w:val="-1"/>
                <w:sz w:val="28"/>
                <w:szCs w:val="28"/>
              </w:rPr>
              <w:t>4) участь у розробленні проектів нормативно-правових актів у сфері поводження з відходами (крім поводження з радіоактивними відходами), небезпечними хімічними речовинами, пестицидами та агрохімікатами, здійснення операцій з металобрухтом;</w:t>
            </w:r>
          </w:p>
          <w:p w:rsidR="006475FC" w:rsidRDefault="006475FC" w:rsidP="00955715">
            <w:pPr>
              <w:shd w:val="clear" w:color="auto" w:fill="FFFFFF"/>
              <w:tabs>
                <w:tab w:val="left" w:pos="1246"/>
              </w:tabs>
              <w:ind w:left="74" w:right="118"/>
              <w:jc w:val="both"/>
              <w:rPr>
                <w:spacing w:val="-1"/>
                <w:sz w:val="28"/>
                <w:szCs w:val="28"/>
              </w:rPr>
            </w:pPr>
            <w:r>
              <w:rPr>
                <w:spacing w:val="-1"/>
                <w:sz w:val="28"/>
                <w:szCs w:val="28"/>
              </w:rPr>
              <w:t>5) збирає, аналізує та узагальнює інформацію, надану територіальними та міжрегіональними територіальними органами щодо контролю за дотриманням природоохоронного законодавства у сфері поводження з відходами органами місцевого самоврядування та місцевими державними адміністраціями про несанкціоновані і неконтрольовані звалища відходів, та стосовно проведених перевірок полігонів та сміттєзвалищ</w:t>
            </w:r>
            <w:r w:rsidRPr="006475FC">
              <w:rPr>
                <w:spacing w:val="-1"/>
                <w:sz w:val="28"/>
                <w:szCs w:val="28"/>
              </w:rPr>
              <w:t>;</w:t>
            </w:r>
            <w:r>
              <w:rPr>
                <w:spacing w:val="-1"/>
                <w:sz w:val="28"/>
                <w:szCs w:val="28"/>
              </w:rPr>
              <w:t xml:space="preserve">  </w:t>
            </w:r>
          </w:p>
          <w:p w:rsidR="000D7526" w:rsidRPr="00B45F2F" w:rsidRDefault="000D7526" w:rsidP="000D7526">
            <w:pPr>
              <w:ind w:left="122" w:right="128"/>
              <w:jc w:val="both"/>
              <w:rPr>
                <w:bCs/>
                <w:spacing w:val="-2"/>
                <w:sz w:val="28"/>
                <w:szCs w:val="28"/>
              </w:rPr>
            </w:pPr>
            <w:r>
              <w:rPr>
                <w:rStyle w:val="a4"/>
                <w:rFonts w:eastAsia="Calibri"/>
                <w:lang w:val="uk-UA"/>
              </w:rPr>
              <w:t>6</w:t>
            </w:r>
            <w:r w:rsidRPr="00B45F2F">
              <w:rPr>
                <w:rStyle w:val="a4"/>
                <w:rFonts w:eastAsia="Calibri"/>
                <w:lang w:val="uk-UA"/>
              </w:rPr>
              <w:t>)</w:t>
            </w:r>
            <w:r w:rsidRPr="00B45F2F">
              <w:rPr>
                <w:bCs/>
                <w:spacing w:val="-2"/>
                <w:sz w:val="28"/>
                <w:szCs w:val="28"/>
              </w:rPr>
              <w:t xml:space="preserve"> участь в організації нарад, семінарів, круглих столів та інших заходів з питань, що належать до сфери поводження з відходами (крім поводження з радіоактивними відходами), небезпечними хімічними речовинами, пестицидами та агрохімікатами; здійснення операцій з металобрухтом;</w:t>
            </w:r>
          </w:p>
          <w:p w:rsidR="00955715" w:rsidRPr="00B45F2F" w:rsidRDefault="000D7526" w:rsidP="00CE2CAA">
            <w:pPr>
              <w:ind w:left="122" w:right="128"/>
              <w:jc w:val="both"/>
              <w:rPr>
                <w:rStyle w:val="a4"/>
                <w:rFonts w:eastAsia="Calibri"/>
                <w:lang w:val="uk-UA"/>
              </w:rPr>
            </w:pPr>
            <w:r>
              <w:rPr>
                <w:spacing w:val="-1"/>
                <w:sz w:val="28"/>
                <w:szCs w:val="28"/>
              </w:rPr>
              <w:t>7</w:t>
            </w:r>
            <w:r w:rsidR="00955715" w:rsidRPr="00B45F2F">
              <w:rPr>
                <w:spacing w:val="-1"/>
                <w:sz w:val="28"/>
                <w:szCs w:val="28"/>
              </w:rPr>
              <w:t xml:space="preserve">) </w:t>
            </w:r>
            <w:r w:rsidR="00955715" w:rsidRPr="00B45F2F">
              <w:rPr>
                <w:rStyle w:val="a4"/>
                <w:rFonts w:eastAsia="Calibri"/>
                <w:lang w:val="uk-UA"/>
              </w:rPr>
              <w:t>надання методичної та практичної допомоги територіальним та міжрегіональним територіальним органам Держекоінспекції з питань, що належать до сфери поводження з відходами (крім поводження з радіоактивними відходами), небезпечними хімічними речовинами, пестицидами та агрохімікатами, здійснення операцій з металобрухтом;</w:t>
            </w:r>
          </w:p>
          <w:p w:rsidR="00955715" w:rsidRPr="00B45F2F" w:rsidRDefault="000D7526" w:rsidP="00D34E37">
            <w:pPr>
              <w:ind w:left="122" w:right="128"/>
              <w:jc w:val="both"/>
              <w:rPr>
                <w:sz w:val="28"/>
                <w:lang w:eastAsia="ru-RU"/>
              </w:rPr>
            </w:pPr>
            <w:r>
              <w:rPr>
                <w:rStyle w:val="a4"/>
                <w:rFonts w:eastAsia="Calibri"/>
                <w:lang w:val="uk-UA"/>
              </w:rPr>
              <w:lastRenderedPageBreak/>
              <w:t xml:space="preserve">8) ведення обліку матеріалів інспекційних перевірок, складених працівниками Відділу та вжитих ними заходів адміністративного впливу до порушників вимог природоохоронного законодавства. Формування та зберігання Єдиних справ розпорядчих документів, ведення журналу обліку Єдиних справ розпорядчих документів. </w:t>
            </w:r>
          </w:p>
        </w:tc>
      </w:tr>
      <w:tr w:rsidR="00A95A31" w:rsidRPr="00A95A31" w:rsidTr="00D804DA">
        <w:tc>
          <w:tcPr>
            <w:tcW w:w="10628" w:type="dxa"/>
          </w:tcPr>
          <w:p w:rsidR="00382737" w:rsidRPr="00A95A31" w:rsidRDefault="00382737" w:rsidP="005869C3">
            <w:pPr>
              <w:ind w:left="122" w:right="128"/>
              <w:rPr>
                <w:b/>
                <w:bCs/>
                <w:spacing w:val="-2"/>
                <w:sz w:val="28"/>
                <w:szCs w:val="28"/>
                <w:lang w:val="en-US"/>
              </w:rPr>
            </w:pPr>
            <w:r w:rsidRPr="00A95A31">
              <w:rPr>
                <w:b/>
                <w:sz w:val="28"/>
                <w:szCs w:val="28"/>
              </w:rPr>
              <w:lastRenderedPageBreak/>
              <w:t>Умови оплати праці</w:t>
            </w:r>
            <w:r w:rsidR="005869C3" w:rsidRPr="00A95A31">
              <w:rPr>
                <w:b/>
                <w:sz w:val="28"/>
                <w:szCs w:val="28"/>
                <w:lang w:val="en-US"/>
              </w:rPr>
              <w:t>:</w:t>
            </w:r>
          </w:p>
        </w:tc>
      </w:tr>
      <w:tr w:rsidR="00A95A31" w:rsidRPr="00A95A31" w:rsidTr="00D804DA">
        <w:tc>
          <w:tcPr>
            <w:tcW w:w="10628" w:type="dxa"/>
          </w:tcPr>
          <w:p w:rsidR="00382737" w:rsidRPr="00A95A31" w:rsidRDefault="00382737" w:rsidP="00382737">
            <w:pPr>
              <w:pStyle w:val="ab"/>
              <w:numPr>
                <w:ilvl w:val="0"/>
                <w:numId w:val="11"/>
              </w:numPr>
              <w:ind w:right="164"/>
              <w:jc w:val="both"/>
              <w:rPr>
                <w:sz w:val="28"/>
                <w:szCs w:val="28"/>
              </w:rPr>
            </w:pPr>
            <w:r w:rsidRPr="00A95A31">
              <w:rPr>
                <w:sz w:val="28"/>
                <w:szCs w:val="28"/>
              </w:rPr>
              <w:t>посадовий окла</w:t>
            </w:r>
            <w:r w:rsidRPr="00A95A31">
              <w:rPr>
                <w:sz w:val="28"/>
                <w:szCs w:val="28"/>
                <w:shd w:val="clear" w:color="auto" w:fill="FFFFFF"/>
              </w:rPr>
              <w:t>д – 9000 грн.</w:t>
            </w:r>
            <w:r w:rsidRPr="00A95A31">
              <w:rPr>
                <w:sz w:val="28"/>
                <w:szCs w:val="28"/>
              </w:rPr>
              <w:t>;</w:t>
            </w:r>
          </w:p>
          <w:p w:rsidR="00382737" w:rsidRPr="00A95A31" w:rsidRDefault="00382737" w:rsidP="00382737">
            <w:pPr>
              <w:ind w:left="124" w:right="128"/>
              <w:jc w:val="both"/>
              <w:rPr>
                <w:b/>
                <w:i/>
                <w:sz w:val="28"/>
                <w:szCs w:val="28"/>
              </w:rPr>
            </w:pPr>
            <w:r w:rsidRPr="00A95A31">
              <w:rPr>
                <w:sz w:val="28"/>
                <w:szCs w:val="28"/>
              </w:rPr>
              <w:t>-  надбавки, доплати, премії та компенсації відповідно до статті 52 Закону України “Про державну службу”</w:t>
            </w:r>
            <w:r w:rsidRPr="00A95A31">
              <w:rPr>
                <w:sz w:val="28"/>
                <w:szCs w:val="28"/>
                <w:lang w:val="ru-RU"/>
              </w:rPr>
              <w:t>;</w:t>
            </w:r>
          </w:p>
          <w:p w:rsidR="00382737" w:rsidRPr="00A95A31" w:rsidRDefault="00382737" w:rsidP="00382737">
            <w:pPr>
              <w:ind w:left="124" w:right="128"/>
              <w:jc w:val="both"/>
              <w:rPr>
                <w:sz w:val="28"/>
                <w:szCs w:val="28"/>
              </w:rPr>
            </w:pPr>
            <w:r w:rsidRPr="00A95A31">
              <w:rPr>
                <w:sz w:val="28"/>
                <w:szCs w:val="28"/>
              </w:rPr>
              <w:t>- 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A95A31" w:rsidRPr="00A95A31" w:rsidTr="00D804DA">
        <w:tc>
          <w:tcPr>
            <w:tcW w:w="10628" w:type="dxa"/>
          </w:tcPr>
          <w:p w:rsidR="00382737" w:rsidRPr="00A95A31" w:rsidRDefault="00382737" w:rsidP="005869C3">
            <w:pPr>
              <w:ind w:left="124" w:right="164"/>
              <w:rPr>
                <w:b/>
                <w:sz w:val="28"/>
                <w:szCs w:val="28"/>
                <w:lang w:val="en-US"/>
              </w:rPr>
            </w:pPr>
            <w:r w:rsidRPr="00A95A31">
              <w:rPr>
                <w:b/>
                <w:sz w:val="28"/>
                <w:szCs w:val="28"/>
              </w:rPr>
              <w:t>Умови призначення на посаду</w:t>
            </w:r>
            <w:r w:rsidR="005869C3" w:rsidRPr="00A95A31">
              <w:rPr>
                <w:b/>
                <w:sz w:val="28"/>
                <w:szCs w:val="28"/>
                <w:lang w:val="en-US"/>
              </w:rPr>
              <w:t>:</w:t>
            </w:r>
          </w:p>
        </w:tc>
      </w:tr>
      <w:tr w:rsidR="00A95A31" w:rsidRPr="00A95A31" w:rsidTr="00D804DA">
        <w:tc>
          <w:tcPr>
            <w:tcW w:w="10628" w:type="dxa"/>
            <w:vAlign w:val="center"/>
          </w:tcPr>
          <w:p w:rsidR="00382737" w:rsidRPr="00A95A31" w:rsidRDefault="005869C3" w:rsidP="005869C3">
            <w:pPr>
              <w:pStyle w:val="ab"/>
              <w:numPr>
                <w:ilvl w:val="0"/>
                <w:numId w:val="11"/>
              </w:numPr>
              <w:ind w:right="128"/>
              <w:jc w:val="both"/>
              <w:rPr>
                <w:sz w:val="28"/>
                <w:szCs w:val="28"/>
              </w:rPr>
            </w:pPr>
            <w:r w:rsidRPr="00A95A31">
              <w:rPr>
                <w:sz w:val="28"/>
                <w:szCs w:val="28"/>
              </w:rPr>
              <w:t xml:space="preserve">призначення на посаду </w:t>
            </w:r>
            <w:r w:rsidR="00382737" w:rsidRPr="00A95A31">
              <w:rPr>
                <w:sz w:val="28"/>
                <w:szCs w:val="28"/>
              </w:rPr>
              <w:t>строков</w:t>
            </w:r>
            <w:r w:rsidRPr="00A95A31">
              <w:rPr>
                <w:sz w:val="28"/>
                <w:szCs w:val="28"/>
              </w:rPr>
              <w:t>е</w:t>
            </w:r>
            <w:r w:rsidR="00382737" w:rsidRPr="00A95A31">
              <w:rPr>
                <w:sz w:val="28"/>
                <w:szCs w:val="28"/>
              </w:rPr>
              <w:t xml:space="preserve">, у період дії воєнного стану без конкурсного відбору, </w:t>
            </w:r>
            <w:r w:rsidR="00382737" w:rsidRPr="00A95A31">
              <w:rPr>
                <w:sz w:val="28"/>
                <w:szCs w:val="28"/>
                <w:shd w:val="clear" w:color="auto" w:fill="FFFFFF"/>
              </w:rPr>
              <w:t>але не більше 12 місяців з дня припинення чи скасування воєнного стану</w:t>
            </w:r>
          </w:p>
        </w:tc>
      </w:tr>
      <w:tr w:rsidR="00A95A31" w:rsidRPr="00A95A31" w:rsidTr="00D804DA">
        <w:tc>
          <w:tcPr>
            <w:tcW w:w="10628" w:type="dxa"/>
          </w:tcPr>
          <w:p w:rsidR="00382737" w:rsidRPr="00DF41AD" w:rsidRDefault="005869C3" w:rsidP="005869C3">
            <w:pPr>
              <w:spacing w:before="100" w:beforeAutospacing="1" w:after="100" w:afterAutospacing="1"/>
              <w:rPr>
                <w:b/>
                <w:sz w:val="28"/>
                <w:szCs w:val="28"/>
                <w:lang w:val="en-US"/>
              </w:rPr>
            </w:pPr>
            <w:r w:rsidRPr="00DF41AD">
              <w:rPr>
                <w:b/>
                <w:sz w:val="28"/>
                <w:szCs w:val="28"/>
                <w:lang w:val="ru-RU"/>
              </w:rPr>
              <w:t xml:space="preserve"> </w:t>
            </w:r>
            <w:r w:rsidR="00382737" w:rsidRPr="00DF41AD">
              <w:rPr>
                <w:b/>
                <w:sz w:val="28"/>
                <w:szCs w:val="28"/>
              </w:rPr>
              <w:t>Кваліфікаційні вимоги</w:t>
            </w:r>
            <w:r w:rsidRPr="00DF41AD">
              <w:rPr>
                <w:b/>
                <w:sz w:val="28"/>
                <w:szCs w:val="28"/>
                <w:lang w:val="en-US"/>
              </w:rPr>
              <w:t>:</w:t>
            </w:r>
          </w:p>
        </w:tc>
      </w:tr>
      <w:tr w:rsidR="00A95A31" w:rsidRPr="00A95A31" w:rsidTr="00D804DA">
        <w:tc>
          <w:tcPr>
            <w:tcW w:w="10628" w:type="dxa"/>
          </w:tcPr>
          <w:p w:rsidR="005869C3" w:rsidRPr="00DF41AD" w:rsidRDefault="005869C3" w:rsidP="005869C3">
            <w:pPr>
              <w:pStyle w:val="ab"/>
              <w:numPr>
                <w:ilvl w:val="0"/>
                <w:numId w:val="11"/>
              </w:numPr>
              <w:ind w:right="130"/>
              <w:jc w:val="both"/>
              <w:rPr>
                <w:sz w:val="28"/>
                <w:szCs w:val="28"/>
              </w:rPr>
            </w:pPr>
            <w:r w:rsidRPr="00DF41AD">
              <w:rPr>
                <w:rStyle w:val="rvts0"/>
                <w:sz w:val="28"/>
                <w:szCs w:val="28"/>
              </w:rPr>
              <w:t>вища освіта</w:t>
            </w:r>
            <w:r w:rsidRPr="00DF41AD">
              <w:rPr>
                <w:rStyle w:val="rvts0"/>
                <w:sz w:val="28"/>
                <w:szCs w:val="28"/>
                <w:lang w:val="ru-RU"/>
              </w:rPr>
              <w:t xml:space="preserve"> </w:t>
            </w:r>
            <w:r w:rsidRPr="00DF41AD">
              <w:rPr>
                <w:rStyle w:val="rvts0"/>
                <w:sz w:val="28"/>
                <w:szCs w:val="28"/>
              </w:rPr>
              <w:t xml:space="preserve">ступеня не нижче </w:t>
            </w:r>
            <w:r w:rsidRPr="00DF41AD">
              <w:rPr>
                <w:rFonts w:eastAsia="Times New Roman"/>
                <w:sz w:val="28"/>
                <w:szCs w:val="28"/>
              </w:rPr>
              <w:t>бакалавра, молодшого бакалавра</w:t>
            </w:r>
            <w:r w:rsidRPr="00DF41AD">
              <w:rPr>
                <w:rFonts w:eastAsia="Times New Roman"/>
                <w:sz w:val="28"/>
                <w:szCs w:val="28"/>
                <w:lang w:val="ru-RU"/>
              </w:rPr>
              <w:t>;</w:t>
            </w:r>
          </w:p>
          <w:p w:rsidR="005869C3" w:rsidRPr="00DF41AD" w:rsidRDefault="005869C3" w:rsidP="005869C3">
            <w:pPr>
              <w:pStyle w:val="ab"/>
              <w:numPr>
                <w:ilvl w:val="0"/>
                <w:numId w:val="11"/>
              </w:numPr>
              <w:ind w:right="130"/>
              <w:jc w:val="both"/>
              <w:rPr>
                <w:sz w:val="28"/>
                <w:szCs w:val="28"/>
              </w:rPr>
            </w:pPr>
            <w:r w:rsidRPr="00DF41AD">
              <w:rPr>
                <w:rStyle w:val="rvts0"/>
                <w:sz w:val="28"/>
                <w:szCs w:val="28"/>
              </w:rPr>
              <w:t>вільне володіння державною мовою.</w:t>
            </w:r>
          </w:p>
        </w:tc>
      </w:tr>
      <w:tr w:rsidR="00A95A31" w:rsidRPr="00A95A31" w:rsidTr="00D804DA">
        <w:tc>
          <w:tcPr>
            <w:tcW w:w="10628" w:type="dxa"/>
          </w:tcPr>
          <w:p w:rsidR="00382737" w:rsidRPr="00DF41AD" w:rsidRDefault="00382737" w:rsidP="005869C3">
            <w:pPr>
              <w:keepNext/>
              <w:keepLines/>
              <w:ind w:left="176" w:right="136"/>
              <w:rPr>
                <w:b/>
                <w:sz w:val="28"/>
                <w:szCs w:val="28"/>
              </w:rPr>
            </w:pPr>
            <w:r w:rsidRPr="00DF41AD">
              <w:rPr>
                <w:b/>
                <w:sz w:val="28"/>
                <w:szCs w:val="28"/>
              </w:rPr>
              <w:t>Професійні знання</w:t>
            </w:r>
            <w:r w:rsidR="005869C3" w:rsidRPr="00DF41AD">
              <w:rPr>
                <w:b/>
                <w:sz w:val="28"/>
                <w:szCs w:val="28"/>
                <w:lang w:val="en-US"/>
              </w:rPr>
              <w:t>:</w:t>
            </w:r>
          </w:p>
        </w:tc>
      </w:tr>
      <w:tr w:rsidR="00A95A31" w:rsidRPr="00A95A31" w:rsidTr="00D804DA">
        <w:tc>
          <w:tcPr>
            <w:tcW w:w="10628" w:type="dxa"/>
          </w:tcPr>
          <w:p w:rsidR="005869C3" w:rsidRPr="00DF41AD" w:rsidRDefault="005869C3" w:rsidP="000C4549">
            <w:pPr>
              <w:keepNext/>
              <w:keepLines/>
              <w:spacing w:before="60" w:beforeAutospacing="1" w:afterAutospacing="1"/>
              <w:ind w:left="39"/>
              <w:jc w:val="both"/>
              <w:rPr>
                <w:sz w:val="28"/>
                <w:szCs w:val="28"/>
              </w:rPr>
            </w:pPr>
            <w:r w:rsidRPr="00DF41AD">
              <w:rPr>
                <w:sz w:val="28"/>
                <w:szCs w:val="28"/>
              </w:rPr>
              <w:t>- знання законодавства</w:t>
            </w:r>
            <w:r w:rsidR="000C4549" w:rsidRPr="00DF41AD">
              <w:rPr>
                <w:sz w:val="28"/>
                <w:szCs w:val="28"/>
                <w:lang w:val="ru-RU"/>
              </w:rPr>
              <w:t>:</w:t>
            </w:r>
            <w:r w:rsidRPr="00DF41AD">
              <w:rPr>
                <w:sz w:val="28"/>
                <w:szCs w:val="28"/>
                <w:lang w:val="ru-RU"/>
              </w:rPr>
              <w:t xml:space="preserve"> </w:t>
            </w:r>
            <w:r w:rsidRPr="00DF41AD">
              <w:rPr>
                <w:sz w:val="28"/>
                <w:szCs w:val="28"/>
              </w:rPr>
              <w:t>Конституції України, Закону України “Про державну службу”, Закону України “Про запобігання корупції” та іншого законодавства</w:t>
            </w:r>
            <w:r w:rsidRPr="00DF41AD">
              <w:rPr>
                <w:sz w:val="28"/>
                <w:szCs w:val="28"/>
                <w:lang w:val="ru-RU"/>
              </w:rPr>
              <w:t>;</w:t>
            </w:r>
          </w:p>
        </w:tc>
      </w:tr>
      <w:tr w:rsidR="00A95A31" w:rsidRPr="00A95A31" w:rsidTr="00D804DA">
        <w:tc>
          <w:tcPr>
            <w:tcW w:w="10628" w:type="dxa"/>
          </w:tcPr>
          <w:p w:rsidR="005869C3" w:rsidRPr="00DF41AD" w:rsidRDefault="000C4549" w:rsidP="00DF41AD">
            <w:pPr>
              <w:ind w:left="74" w:right="118"/>
              <w:jc w:val="both"/>
              <w:rPr>
                <w:sz w:val="28"/>
                <w:szCs w:val="28"/>
                <w:lang w:val="ru-RU"/>
              </w:rPr>
            </w:pPr>
            <w:r w:rsidRPr="00DF41AD">
              <w:rPr>
                <w:sz w:val="28"/>
                <w:szCs w:val="28"/>
              </w:rPr>
              <w:t>- з</w:t>
            </w:r>
            <w:r w:rsidR="005869C3" w:rsidRPr="00DF41AD">
              <w:rPr>
                <w:sz w:val="28"/>
                <w:szCs w:val="28"/>
              </w:rPr>
              <w:t>нання законодавства</w:t>
            </w:r>
            <w:r w:rsidRPr="00DF41AD">
              <w:rPr>
                <w:sz w:val="28"/>
                <w:szCs w:val="28"/>
              </w:rPr>
              <w:t xml:space="preserve"> </w:t>
            </w:r>
            <w:r w:rsidR="005869C3" w:rsidRPr="00DF41AD">
              <w:rPr>
                <w:sz w:val="28"/>
                <w:szCs w:val="28"/>
              </w:rPr>
              <w:t>у сфері</w:t>
            </w:r>
            <w:r w:rsidRPr="00DF41AD">
              <w:rPr>
                <w:sz w:val="28"/>
                <w:szCs w:val="28"/>
              </w:rPr>
              <w:t xml:space="preserve">: </w:t>
            </w:r>
            <w:r w:rsidR="00DF41AD" w:rsidRPr="00DF41AD">
              <w:rPr>
                <w:sz w:val="28"/>
                <w:szCs w:val="28"/>
              </w:rPr>
              <w:t xml:space="preserve"> Кодексу України про адміністративні правопорушення,  </w:t>
            </w:r>
            <w:r w:rsidR="00DB5230" w:rsidRPr="00DF41AD">
              <w:rPr>
                <w:rFonts w:eastAsia="Times New Roman"/>
                <w:sz w:val="28"/>
                <w:szCs w:val="28"/>
                <w:lang w:eastAsia="ru-RU"/>
              </w:rPr>
              <w:t xml:space="preserve"> Закону України “Про основні засади державного нагляду (контролю) у сфері господарської діяльності”, </w:t>
            </w:r>
            <w:r w:rsidR="00DB5230" w:rsidRPr="00DF41AD">
              <w:rPr>
                <w:sz w:val="28"/>
                <w:szCs w:val="28"/>
              </w:rPr>
              <w:t xml:space="preserve">Закону України “Про охорону навколишнього природного середовища”, Закону України “Про відходи”, Закону України “Про хімічні джерела струму”, Закону України “Про пестициди і агрохімікати”, Закону України “Про металобрухт”, Кодексу України про адміністративні правопорушення, постанови Кабінету Міністрів України від 17.01.2012 № 1221 “Деякі питання збирання, перевезення, зберігання, оброблення (перероблення), утилізації та/або знешкодження відпрацьованих мастил (олив)” (із змінами), </w:t>
            </w:r>
            <w:r w:rsidR="00876E58" w:rsidRPr="00DF41AD">
              <w:rPr>
                <w:rFonts w:eastAsia="Times New Roman"/>
                <w:sz w:val="28"/>
                <w:szCs w:val="28"/>
                <w:lang w:eastAsia="ru-RU"/>
              </w:rPr>
              <w:t>Закону України “Про звернення громадян”, постанови Кабінету Міністрів України від 19.04.2017 № 275 “Про затвердження Положення про Державну екологічну інспекцію України” (із змінами).</w:t>
            </w:r>
          </w:p>
        </w:tc>
      </w:tr>
    </w:tbl>
    <w:p w:rsidR="004A10A8" w:rsidRPr="005556CB" w:rsidRDefault="004A10A8" w:rsidP="0017085F">
      <w:pPr>
        <w:rPr>
          <w:sz w:val="28"/>
          <w:szCs w:val="28"/>
        </w:rPr>
      </w:pPr>
    </w:p>
    <w:sectPr w:rsidR="004A10A8" w:rsidRPr="005556CB" w:rsidSect="008B14A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672C"/>
    <w:multiLevelType w:val="hybridMultilevel"/>
    <w:tmpl w:val="878A58B0"/>
    <w:lvl w:ilvl="0" w:tplc="5296CF70">
      <w:start w:val="5"/>
      <w:numFmt w:val="bullet"/>
      <w:lvlText w:val="-"/>
      <w:lvlJc w:val="left"/>
      <w:pPr>
        <w:ind w:left="484" w:hanging="360"/>
      </w:pPr>
      <w:rPr>
        <w:rFonts w:ascii="Times New Roman" w:eastAsia="Calibri"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 w15:restartNumberingAfterBreak="0">
    <w:nsid w:val="1AD16EE3"/>
    <w:multiLevelType w:val="hybridMultilevel"/>
    <w:tmpl w:val="7C2C181E"/>
    <w:lvl w:ilvl="0" w:tplc="04220001">
      <w:start w:val="1"/>
      <w:numFmt w:val="bullet"/>
      <w:lvlText w:val=""/>
      <w:lvlJc w:val="left"/>
      <w:pPr>
        <w:ind w:left="794" w:hanging="360"/>
      </w:pPr>
      <w:rPr>
        <w:rFonts w:ascii="Symbol" w:hAnsi="Symbol" w:hint="default"/>
      </w:rPr>
    </w:lvl>
    <w:lvl w:ilvl="1" w:tplc="04220003" w:tentative="1">
      <w:start w:val="1"/>
      <w:numFmt w:val="bullet"/>
      <w:lvlText w:val="o"/>
      <w:lvlJc w:val="left"/>
      <w:pPr>
        <w:ind w:left="1514" w:hanging="360"/>
      </w:pPr>
      <w:rPr>
        <w:rFonts w:ascii="Courier New" w:hAnsi="Courier New" w:cs="Courier New" w:hint="default"/>
      </w:rPr>
    </w:lvl>
    <w:lvl w:ilvl="2" w:tplc="04220005" w:tentative="1">
      <w:start w:val="1"/>
      <w:numFmt w:val="bullet"/>
      <w:lvlText w:val=""/>
      <w:lvlJc w:val="left"/>
      <w:pPr>
        <w:ind w:left="2234" w:hanging="360"/>
      </w:pPr>
      <w:rPr>
        <w:rFonts w:ascii="Wingdings" w:hAnsi="Wingdings" w:hint="default"/>
      </w:rPr>
    </w:lvl>
    <w:lvl w:ilvl="3" w:tplc="04220001" w:tentative="1">
      <w:start w:val="1"/>
      <w:numFmt w:val="bullet"/>
      <w:lvlText w:val=""/>
      <w:lvlJc w:val="left"/>
      <w:pPr>
        <w:ind w:left="2954" w:hanging="360"/>
      </w:pPr>
      <w:rPr>
        <w:rFonts w:ascii="Symbol" w:hAnsi="Symbol" w:hint="default"/>
      </w:rPr>
    </w:lvl>
    <w:lvl w:ilvl="4" w:tplc="04220003" w:tentative="1">
      <w:start w:val="1"/>
      <w:numFmt w:val="bullet"/>
      <w:lvlText w:val="o"/>
      <w:lvlJc w:val="left"/>
      <w:pPr>
        <w:ind w:left="3674" w:hanging="360"/>
      </w:pPr>
      <w:rPr>
        <w:rFonts w:ascii="Courier New" w:hAnsi="Courier New" w:cs="Courier New" w:hint="default"/>
      </w:rPr>
    </w:lvl>
    <w:lvl w:ilvl="5" w:tplc="04220005" w:tentative="1">
      <w:start w:val="1"/>
      <w:numFmt w:val="bullet"/>
      <w:lvlText w:val=""/>
      <w:lvlJc w:val="left"/>
      <w:pPr>
        <w:ind w:left="4394" w:hanging="360"/>
      </w:pPr>
      <w:rPr>
        <w:rFonts w:ascii="Wingdings" w:hAnsi="Wingdings" w:hint="default"/>
      </w:rPr>
    </w:lvl>
    <w:lvl w:ilvl="6" w:tplc="04220001" w:tentative="1">
      <w:start w:val="1"/>
      <w:numFmt w:val="bullet"/>
      <w:lvlText w:val=""/>
      <w:lvlJc w:val="left"/>
      <w:pPr>
        <w:ind w:left="5114" w:hanging="360"/>
      </w:pPr>
      <w:rPr>
        <w:rFonts w:ascii="Symbol" w:hAnsi="Symbol" w:hint="default"/>
      </w:rPr>
    </w:lvl>
    <w:lvl w:ilvl="7" w:tplc="04220003" w:tentative="1">
      <w:start w:val="1"/>
      <w:numFmt w:val="bullet"/>
      <w:lvlText w:val="o"/>
      <w:lvlJc w:val="left"/>
      <w:pPr>
        <w:ind w:left="5834" w:hanging="360"/>
      </w:pPr>
      <w:rPr>
        <w:rFonts w:ascii="Courier New" w:hAnsi="Courier New" w:cs="Courier New" w:hint="default"/>
      </w:rPr>
    </w:lvl>
    <w:lvl w:ilvl="8" w:tplc="04220005" w:tentative="1">
      <w:start w:val="1"/>
      <w:numFmt w:val="bullet"/>
      <w:lvlText w:val=""/>
      <w:lvlJc w:val="left"/>
      <w:pPr>
        <w:ind w:left="6554" w:hanging="360"/>
      </w:pPr>
      <w:rPr>
        <w:rFonts w:ascii="Wingdings" w:hAnsi="Wingdings" w:hint="default"/>
      </w:rPr>
    </w:lvl>
  </w:abstractNum>
  <w:abstractNum w:abstractNumId="2"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3" w15:restartNumberingAfterBreak="0">
    <w:nsid w:val="2FD70805"/>
    <w:multiLevelType w:val="hybridMultilevel"/>
    <w:tmpl w:val="F5C2D04A"/>
    <w:lvl w:ilvl="0" w:tplc="46DCC5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524630"/>
    <w:multiLevelType w:val="multilevel"/>
    <w:tmpl w:val="E51A9A18"/>
    <w:lvl w:ilvl="0">
      <w:start w:val="1"/>
      <w:numFmt w:val="bullet"/>
      <w:lvlText w:val="-"/>
      <w:lvlJc w:val="left"/>
      <w:pPr>
        <w:ind w:left="657" w:hanging="360"/>
      </w:pPr>
    </w:lvl>
    <w:lvl w:ilvl="1">
      <w:start w:val="1"/>
      <w:numFmt w:val="bullet"/>
      <w:lvlText w:val="o"/>
      <w:lvlJc w:val="left"/>
      <w:pPr>
        <w:ind w:left="1377" w:hanging="360"/>
      </w:pPr>
      <w:rPr>
        <w:rFonts w:ascii="Courier New" w:eastAsia="Courier New" w:hAnsi="Courier New" w:cs="Courier New"/>
      </w:rPr>
    </w:lvl>
    <w:lvl w:ilvl="2">
      <w:start w:val="1"/>
      <w:numFmt w:val="bullet"/>
      <w:lvlText w:val="▪"/>
      <w:lvlJc w:val="left"/>
      <w:pPr>
        <w:ind w:left="2097" w:hanging="360"/>
      </w:pPr>
      <w:rPr>
        <w:rFonts w:ascii="Noto Sans Symbols" w:eastAsia="Noto Sans Symbols" w:hAnsi="Noto Sans Symbols" w:cs="Noto Sans Symbols"/>
      </w:rPr>
    </w:lvl>
    <w:lvl w:ilvl="3">
      <w:start w:val="1"/>
      <w:numFmt w:val="bullet"/>
      <w:lvlText w:val="●"/>
      <w:lvlJc w:val="left"/>
      <w:pPr>
        <w:ind w:left="2817" w:hanging="360"/>
      </w:pPr>
      <w:rPr>
        <w:rFonts w:ascii="Noto Sans Symbols" w:eastAsia="Noto Sans Symbols" w:hAnsi="Noto Sans Symbols" w:cs="Noto Sans Symbols"/>
      </w:rPr>
    </w:lvl>
    <w:lvl w:ilvl="4">
      <w:start w:val="1"/>
      <w:numFmt w:val="bullet"/>
      <w:lvlText w:val="o"/>
      <w:lvlJc w:val="left"/>
      <w:pPr>
        <w:ind w:left="3537" w:hanging="360"/>
      </w:pPr>
      <w:rPr>
        <w:rFonts w:ascii="Courier New" w:eastAsia="Courier New" w:hAnsi="Courier New" w:cs="Courier New"/>
      </w:rPr>
    </w:lvl>
    <w:lvl w:ilvl="5">
      <w:start w:val="1"/>
      <w:numFmt w:val="bullet"/>
      <w:lvlText w:val="▪"/>
      <w:lvlJc w:val="left"/>
      <w:pPr>
        <w:ind w:left="4257" w:hanging="360"/>
      </w:pPr>
      <w:rPr>
        <w:rFonts w:ascii="Noto Sans Symbols" w:eastAsia="Noto Sans Symbols" w:hAnsi="Noto Sans Symbols" w:cs="Noto Sans Symbols"/>
      </w:rPr>
    </w:lvl>
    <w:lvl w:ilvl="6">
      <w:start w:val="1"/>
      <w:numFmt w:val="bullet"/>
      <w:lvlText w:val="●"/>
      <w:lvlJc w:val="left"/>
      <w:pPr>
        <w:ind w:left="4977" w:hanging="360"/>
      </w:pPr>
      <w:rPr>
        <w:rFonts w:ascii="Noto Sans Symbols" w:eastAsia="Noto Sans Symbols" w:hAnsi="Noto Sans Symbols" w:cs="Noto Sans Symbols"/>
      </w:rPr>
    </w:lvl>
    <w:lvl w:ilvl="7">
      <w:start w:val="1"/>
      <w:numFmt w:val="bullet"/>
      <w:lvlText w:val="o"/>
      <w:lvlJc w:val="left"/>
      <w:pPr>
        <w:ind w:left="5697" w:hanging="360"/>
      </w:pPr>
      <w:rPr>
        <w:rFonts w:ascii="Courier New" w:eastAsia="Courier New" w:hAnsi="Courier New" w:cs="Courier New"/>
      </w:rPr>
    </w:lvl>
    <w:lvl w:ilvl="8">
      <w:start w:val="1"/>
      <w:numFmt w:val="bullet"/>
      <w:lvlText w:val="▪"/>
      <w:lvlJc w:val="left"/>
      <w:pPr>
        <w:ind w:left="6417" w:hanging="360"/>
      </w:pPr>
      <w:rPr>
        <w:rFonts w:ascii="Noto Sans Symbols" w:eastAsia="Noto Sans Symbols" w:hAnsi="Noto Sans Symbols" w:cs="Noto Sans Symbols"/>
      </w:rPr>
    </w:lvl>
  </w:abstractNum>
  <w:abstractNum w:abstractNumId="6"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7"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2"/>
  </w:num>
  <w:num w:numId="4">
    <w:abstractNumId w:val="6"/>
  </w:num>
  <w:num w:numId="5">
    <w:abstractNumId w:val="5"/>
  </w:num>
  <w:num w:numId="6">
    <w:abstractNumId w:val="8"/>
  </w:num>
  <w:num w:numId="7">
    <w:abstractNumId w:val="4"/>
  </w:num>
  <w:num w:numId="8">
    <w:abstractNumId w:val="10"/>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0116"/>
    <w:rsid w:val="00033439"/>
    <w:rsid w:val="00033C33"/>
    <w:rsid w:val="00047206"/>
    <w:rsid w:val="00066013"/>
    <w:rsid w:val="00071DBD"/>
    <w:rsid w:val="00080739"/>
    <w:rsid w:val="000A2BC1"/>
    <w:rsid w:val="000A61C1"/>
    <w:rsid w:val="000A7AF0"/>
    <w:rsid w:val="000C4549"/>
    <w:rsid w:val="000C746E"/>
    <w:rsid w:val="000D04A8"/>
    <w:rsid w:val="000D7526"/>
    <w:rsid w:val="000E6553"/>
    <w:rsid w:val="000F6F1A"/>
    <w:rsid w:val="00104699"/>
    <w:rsid w:val="00107818"/>
    <w:rsid w:val="001151D7"/>
    <w:rsid w:val="001247B9"/>
    <w:rsid w:val="00155D94"/>
    <w:rsid w:val="001564DB"/>
    <w:rsid w:val="0017085F"/>
    <w:rsid w:val="00173762"/>
    <w:rsid w:val="00194D39"/>
    <w:rsid w:val="001F7247"/>
    <w:rsid w:val="00205534"/>
    <w:rsid w:val="00206DFF"/>
    <w:rsid w:val="0021071C"/>
    <w:rsid w:val="002112D8"/>
    <w:rsid w:val="00212B10"/>
    <w:rsid w:val="00236548"/>
    <w:rsid w:val="00251AB8"/>
    <w:rsid w:val="002523DB"/>
    <w:rsid w:val="002534F1"/>
    <w:rsid w:val="002561D9"/>
    <w:rsid w:val="002575DE"/>
    <w:rsid w:val="002745F3"/>
    <w:rsid w:val="00280B7E"/>
    <w:rsid w:val="00282084"/>
    <w:rsid w:val="00290CD6"/>
    <w:rsid w:val="002916C8"/>
    <w:rsid w:val="00292751"/>
    <w:rsid w:val="002A4844"/>
    <w:rsid w:val="002B065E"/>
    <w:rsid w:val="002C66DF"/>
    <w:rsid w:val="002D1A0F"/>
    <w:rsid w:val="002D1D89"/>
    <w:rsid w:val="002D42FC"/>
    <w:rsid w:val="002E79D9"/>
    <w:rsid w:val="002F6480"/>
    <w:rsid w:val="002F759D"/>
    <w:rsid w:val="003102A1"/>
    <w:rsid w:val="00315BD0"/>
    <w:rsid w:val="00315E53"/>
    <w:rsid w:val="003255D4"/>
    <w:rsid w:val="0032699A"/>
    <w:rsid w:val="003347F8"/>
    <w:rsid w:val="00337D71"/>
    <w:rsid w:val="003505F0"/>
    <w:rsid w:val="00353294"/>
    <w:rsid w:val="0035412D"/>
    <w:rsid w:val="00357165"/>
    <w:rsid w:val="00362B3B"/>
    <w:rsid w:val="003633F9"/>
    <w:rsid w:val="00371950"/>
    <w:rsid w:val="00374EF4"/>
    <w:rsid w:val="0037612E"/>
    <w:rsid w:val="00377172"/>
    <w:rsid w:val="00382737"/>
    <w:rsid w:val="0038737A"/>
    <w:rsid w:val="00395758"/>
    <w:rsid w:val="003A5617"/>
    <w:rsid w:val="003B6E85"/>
    <w:rsid w:val="00413B9D"/>
    <w:rsid w:val="00427FFD"/>
    <w:rsid w:val="0046383A"/>
    <w:rsid w:val="00471809"/>
    <w:rsid w:val="00474F76"/>
    <w:rsid w:val="0048296A"/>
    <w:rsid w:val="00482BF4"/>
    <w:rsid w:val="00485ECE"/>
    <w:rsid w:val="004A0D8E"/>
    <w:rsid w:val="004A10A8"/>
    <w:rsid w:val="004C5A9A"/>
    <w:rsid w:val="004E1F94"/>
    <w:rsid w:val="004E772E"/>
    <w:rsid w:val="004F5082"/>
    <w:rsid w:val="00502751"/>
    <w:rsid w:val="00515923"/>
    <w:rsid w:val="0052565F"/>
    <w:rsid w:val="00527382"/>
    <w:rsid w:val="00533387"/>
    <w:rsid w:val="00537B4B"/>
    <w:rsid w:val="005556CB"/>
    <w:rsid w:val="00571F32"/>
    <w:rsid w:val="00581919"/>
    <w:rsid w:val="005869C3"/>
    <w:rsid w:val="00596B35"/>
    <w:rsid w:val="005A028D"/>
    <w:rsid w:val="005A7DB4"/>
    <w:rsid w:val="005B2D8B"/>
    <w:rsid w:val="005C40EA"/>
    <w:rsid w:val="005D51C0"/>
    <w:rsid w:val="005D6F13"/>
    <w:rsid w:val="005E76F0"/>
    <w:rsid w:val="005F4F7A"/>
    <w:rsid w:val="005F54D9"/>
    <w:rsid w:val="00600DCD"/>
    <w:rsid w:val="00611CB2"/>
    <w:rsid w:val="00621A9D"/>
    <w:rsid w:val="006475FC"/>
    <w:rsid w:val="00660CB1"/>
    <w:rsid w:val="0067084B"/>
    <w:rsid w:val="00675C21"/>
    <w:rsid w:val="006769D9"/>
    <w:rsid w:val="00677D86"/>
    <w:rsid w:val="00685236"/>
    <w:rsid w:val="006A396A"/>
    <w:rsid w:val="006D3F25"/>
    <w:rsid w:val="006D6AC1"/>
    <w:rsid w:val="00701DC3"/>
    <w:rsid w:val="00701E9B"/>
    <w:rsid w:val="00703877"/>
    <w:rsid w:val="00721AE9"/>
    <w:rsid w:val="0072240D"/>
    <w:rsid w:val="0072578B"/>
    <w:rsid w:val="00736AEF"/>
    <w:rsid w:val="0073767A"/>
    <w:rsid w:val="00761D82"/>
    <w:rsid w:val="00774483"/>
    <w:rsid w:val="00782CCD"/>
    <w:rsid w:val="007903BF"/>
    <w:rsid w:val="007A60F6"/>
    <w:rsid w:val="007B5388"/>
    <w:rsid w:val="007C1BBB"/>
    <w:rsid w:val="007C38ED"/>
    <w:rsid w:val="007D3D21"/>
    <w:rsid w:val="007E45CA"/>
    <w:rsid w:val="00805FE9"/>
    <w:rsid w:val="008164D5"/>
    <w:rsid w:val="008302FF"/>
    <w:rsid w:val="00846B87"/>
    <w:rsid w:val="00876E58"/>
    <w:rsid w:val="00885AA9"/>
    <w:rsid w:val="00894986"/>
    <w:rsid w:val="008B14A2"/>
    <w:rsid w:val="008B3FF0"/>
    <w:rsid w:val="008E2AA7"/>
    <w:rsid w:val="008E3F0D"/>
    <w:rsid w:val="008F1ECE"/>
    <w:rsid w:val="00910C8A"/>
    <w:rsid w:val="0091451A"/>
    <w:rsid w:val="00930C0D"/>
    <w:rsid w:val="009459F3"/>
    <w:rsid w:val="00946628"/>
    <w:rsid w:val="00955715"/>
    <w:rsid w:val="009706B7"/>
    <w:rsid w:val="0097162B"/>
    <w:rsid w:val="00973DB2"/>
    <w:rsid w:val="00980B90"/>
    <w:rsid w:val="00984D13"/>
    <w:rsid w:val="0098519B"/>
    <w:rsid w:val="009861E1"/>
    <w:rsid w:val="00991878"/>
    <w:rsid w:val="009B40BE"/>
    <w:rsid w:val="009C1068"/>
    <w:rsid w:val="009C1545"/>
    <w:rsid w:val="009E3613"/>
    <w:rsid w:val="00A020E8"/>
    <w:rsid w:val="00A033B1"/>
    <w:rsid w:val="00A10D9F"/>
    <w:rsid w:val="00A13B42"/>
    <w:rsid w:val="00A221D7"/>
    <w:rsid w:val="00A26DF2"/>
    <w:rsid w:val="00A41D3F"/>
    <w:rsid w:val="00A5216F"/>
    <w:rsid w:val="00A730A6"/>
    <w:rsid w:val="00A95A31"/>
    <w:rsid w:val="00AA2DB6"/>
    <w:rsid w:val="00AC2D65"/>
    <w:rsid w:val="00AE1D93"/>
    <w:rsid w:val="00AF6E07"/>
    <w:rsid w:val="00AF7C49"/>
    <w:rsid w:val="00B107F1"/>
    <w:rsid w:val="00B1463A"/>
    <w:rsid w:val="00B21F1E"/>
    <w:rsid w:val="00B429C5"/>
    <w:rsid w:val="00B45F2F"/>
    <w:rsid w:val="00B572F5"/>
    <w:rsid w:val="00BA1595"/>
    <w:rsid w:val="00BC20A1"/>
    <w:rsid w:val="00BD34FE"/>
    <w:rsid w:val="00BD7985"/>
    <w:rsid w:val="00BE55EF"/>
    <w:rsid w:val="00C03EE2"/>
    <w:rsid w:val="00C16652"/>
    <w:rsid w:val="00C33052"/>
    <w:rsid w:val="00C42E68"/>
    <w:rsid w:val="00C43185"/>
    <w:rsid w:val="00C5734A"/>
    <w:rsid w:val="00C6427E"/>
    <w:rsid w:val="00C66373"/>
    <w:rsid w:val="00C723A1"/>
    <w:rsid w:val="00C81045"/>
    <w:rsid w:val="00C85C85"/>
    <w:rsid w:val="00C95790"/>
    <w:rsid w:val="00CB710C"/>
    <w:rsid w:val="00CE1E97"/>
    <w:rsid w:val="00CE2CAA"/>
    <w:rsid w:val="00CE43A2"/>
    <w:rsid w:val="00CE77A6"/>
    <w:rsid w:val="00D07653"/>
    <w:rsid w:val="00D10233"/>
    <w:rsid w:val="00D11247"/>
    <w:rsid w:val="00D1162A"/>
    <w:rsid w:val="00D12C59"/>
    <w:rsid w:val="00D14D26"/>
    <w:rsid w:val="00D2310F"/>
    <w:rsid w:val="00D2701F"/>
    <w:rsid w:val="00D336BE"/>
    <w:rsid w:val="00D34E37"/>
    <w:rsid w:val="00D35A38"/>
    <w:rsid w:val="00D43AE6"/>
    <w:rsid w:val="00D47C5B"/>
    <w:rsid w:val="00D52746"/>
    <w:rsid w:val="00D52A94"/>
    <w:rsid w:val="00D52FD6"/>
    <w:rsid w:val="00D7415D"/>
    <w:rsid w:val="00D75D68"/>
    <w:rsid w:val="00D804DA"/>
    <w:rsid w:val="00D8100A"/>
    <w:rsid w:val="00D873F3"/>
    <w:rsid w:val="00D87515"/>
    <w:rsid w:val="00D93CA1"/>
    <w:rsid w:val="00DA35F1"/>
    <w:rsid w:val="00DA4AE9"/>
    <w:rsid w:val="00DB5230"/>
    <w:rsid w:val="00DB6E65"/>
    <w:rsid w:val="00DE110D"/>
    <w:rsid w:val="00DF41AD"/>
    <w:rsid w:val="00DF5B00"/>
    <w:rsid w:val="00E01000"/>
    <w:rsid w:val="00E0224B"/>
    <w:rsid w:val="00E036CF"/>
    <w:rsid w:val="00E254F2"/>
    <w:rsid w:val="00E3110A"/>
    <w:rsid w:val="00E3556A"/>
    <w:rsid w:val="00E70998"/>
    <w:rsid w:val="00E93E23"/>
    <w:rsid w:val="00E96A38"/>
    <w:rsid w:val="00E97C71"/>
    <w:rsid w:val="00EA168D"/>
    <w:rsid w:val="00EA250D"/>
    <w:rsid w:val="00EA4331"/>
    <w:rsid w:val="00EA6A0D"/>
    <w:rsid w:val="00EC0BBD"/>
    <w:rsid w:val="00EC3C05"/>
    <w:rsid w:val="00EC645A"/>
    <w:rsid w:val="00ED5A98"/>
    <w:rsid w:val="00ED71EA"/>
    <w:rsid w:val="00EE1F60"/>
    <w:rsid w:val="00EF38B9"/>
    <w:rsid w:val="00F019B7"/>
    <w:rsid w:val="00F03AE0"/>
    <w:rsid w:val="00F04E30"/>
    <w:rsid w:val="00F1217E"/>
    <w:rsid w:val="00F26C46"/>
    <w:rsid w:val="00F34A1C"/>
    <w:rsid w:val="00F37D37"/>
    <w:rsid w:val="00F4441F"/>
    <w:rsid w:val="00F7312D"/>
    <w:rsid w:val="00F74770"/>
    <w:rsid w:val="00F92E60"/>
    <w:rsid w:val="00F96F57"/>
    <w:rsid w:val="00FA5944"/>
    <w:rsid w:val="00FC0A6D"/>
    <w:rsid w:val="00FD3C61"/>
    <w:rsid w:val="00FF11CB"/>
    <w:rsid w:val="00FF61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A9C2"/>
  <w15:chartTrackingRefBased/>
  <w15:docId w15:val="{FFB88EB6-7E4B-4344-8586-F66F2FD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Заголовок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paragraph" w:customStyle="1" w:styleId="20">
    <w:name w:val="Основной текст2"/>
    <w:basedOn w:val="a"/>
    <w:rsid w:val="00FC0A6D"/>
    <w:pPr>
      <w:widowControl w:val="0"/>
      <w:shd w:val="clear" w:color="auto" w:fill="FFFFFF"/>
      <w:spacing w:line="221" w:lineRule="exact"/>
      <w:ind w:hanging="1920"/>
      <w:jc w:val="both"/>
    </w:pPr>
    <w:rPr>
      <w:rFonts w:eastAsia="Times New Roman"/>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6414">
      <w:bodyDiv w:val="1"/>
      <w:marLeft w:val="0"/>
      <w:marRight w:val="0"/>
      <w:marTop w:val="0"/>
      <w:marBottom w:val="0"/>
      <w:divBdr>
        <w:top w:val="none" w:sz="0" w:space="0" w:color="auto"/>
        <w:left w:val="none" w:sz="0" w:space="0" w:color="auto"/>
        <w:bottom w:val="none" w:sz="0" w:space="0" w:color="auto"/>
        <w:right w:val="none" w:sz="0" w:space="0" w:color="auto"/>
      </w:divBdr>
    </w:div>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5F29-D1C9-4764-AEE2-B9677B26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2023-09-04T09:55:00Z</cp:lastPrinted>
  <dcterms:created xsi:type="dcterms:W3CDTF">2023-09-04T07:24:00Z</dcterms:created>
  <dcterms:modified xsi:type="dcterms:W3CDTF">2023-09-04T11:03:00Z</dcterms:modified>
</cp:coreProperties>
</file>