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25" w:rsidRPr="001F7247" w:rsidRDefault="006D3F25" w:rsidP="004A10A8">
      <w:pPr>
        <w:jc w:val="center"/>
        <w:rPr>
          <w:sz w:val="16"/>
          <w:szCs w:val="16"/>
        </w:rPr>
      </w:pPr>
    </w:p>
    <w:p w:rsidR="00064222" w:rsidRDefault="00064222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</w:p>
    <w:p w:rsidR="008F1ECE" w:rsidRPr="00064222" w:rsidRDefault="004A0D8E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064222">
        <w:rPr>
          <w:sz w:val="28"/>
          <w:szCs w:val="28"/>
        </w:rPr>
        <w:t>П</w:t>
      </w:r>
      <w:r w:rsidRPr="00064222">
        <w:rPr>
          <w:rFonts w:eastAsia="Times New Roman"/>
          <w:snapToGrid w:val="0"/>
          <w:sz w:val="28"/>
          <w:szCs w:val="28"/>
        </w:rPr>
        <w:t>осада державної служби категорії “В” Держекоінспекції –  г</w:t>
      </w:r>
      <w:r w:rsidR="00EA168D" w:rsidRPr="00064222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064222">
        <w:rPr>
          <w:rFonts w:eastAsia="Times New Roman"/>
          <w:snapToGrid w:val="0"/>
          <w:sz w:val="28"/>
          <w:szCs w:val="28"/>
        </w:rPr>
        <w:t xml:space="preserve"> </w:t>
      </w:r>
      <w:r w:rsidR="00D87515" w:rsidRPr="00064222">
        <w:rPr>
          <w:sz w:val="28"/>
          <w:szCs w:val="28"/>
        </w:rPr>
        <w:t xml:space="preserve">відділу державного екологічного нагляду (контролю) земельних ресурсів </w:t>
      </w:r>
      <w:r w:rsidR="00114956" w:rsidRPr="00064222">
        <w:rPr>
          <w:sz w:val="28"/>
          <w:szCs w:val="28"/>
        </w:rPr>
        <w:t xml:space="preserve">Департаменту </w:t>
      </w:r>
      <w:r w:rsidR="00D87515" w:rsidRPr="00064222">
        <w:rPr>
          <w:sz w:val="28"/>
          <w:szCs w:val="28"/>
        </w:rPr>
        <w:t xml:space="preserve">державного екологічного нагляду (контролю) </w:t>
      </w:r>
      <w:r w:rsidR="00EA168D" w:rsidRPr="00064222">
        <w:rPr>
          <w:sz w:val="28"/>
          <w:szCs w:val="28"/>
        </w:rPr>
        <w:t xml:space="preserve">– державний інспектор </w:t>
      </w:r>
      <w:r w:rsidR="001F7247" w:rsidRPr="00064222">
        <w:rPr>
          <w:sz w:val="28"/>
          <w:szCs w:val="28"/>
        </w:rPr>
        <w:t>України з охорони навколишнього природного середовища</w:t>
      </w:r>
      <w:r w:rsidR="00774483" w:rsidRPr="00064222">
        <w:rPr>
          <w:sz w:val="28"/>
          <w:szCs w:val="28"/>
        </w:rPr>
        <w:t xml:space="preserve"> </w:t>
      </w:r>
    </w:p>
    <w:p w:rsidR="00F37158" w:rsidRPr="00064222" w:rsidRDefault="00F37158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8"/>
      </w:tblGrid>
      <w:tr w:rsidR="00064222" w:rsidRPr="00064222" w:rsidTr="00D804DA">
        <w:tc>
          <w:tcPr>
            <w:tcW w:w="10628" w:type="dxa"/>
          </w:tcPr>
          <w:p w:rsidR="00382737" w:rsidRPr="00064222" w:rsidRDefault="00F37158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Основні п</w:t>
            </w:r>
            <w:r w:rsidR="00382737" w:rsidRPr="00064222">
              <w:rPr>
                <w:b/>
                <w:sz w:val="28"/>
                <w:szCs w:val="28"/>
              </w:rPr>
              <w:t>осадові обов’язки</w:t>
            </w:r>
            <w:r w:rsidR="005869C3" w:rsidRPr="00064222">
              <w:rPr>
                <w:b/>
                <w:sz w:val="28"/>
                <w:szCs w:val="28"/>
              </w:rPr>
              <w:t>:</w:t>
            </w:r>
          </w:p>
        </w:tc>
      </w:tr>
      <w:tr w:rsidR="00064222" w:rsidRPr="00064222" w:rsidTr="00D804DA">
        <w:tc>
          <w:tcPr>
            <w:tcW w:w="10628" w:type="dxa"/>
          </w:tcPr>
          <w:p w:rsidR="00382737" w:rsidRDefault="00BD4C11" w:rsidP="00382737">
            <w:pPr>
              <w:ind w:left="122" w:right="128"/>
              <w:jc w:val="both"/>
              <w:rPr>
                <w:rStyle w:val="a4"/>
                <w:rFonts w:eastAsia="Calibri"/>
                <w:szCs w:val="28"/>
                <w:lang w:val="uk-UA"/>
              </w:rPr>
            </w:pPr>
            <w:r w:rsidRPr="00064222">
              <w:rPr>
                <w:bCs/>
                <w:spacing w:val="-2"/>
                <w:sz w:val="28"/>
                <w:szCs w:val="28"/>
              </w:rPr>
              <w:t>1)</w:t>
            </w:r>
            <w:r w:rsidR="00064222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064222" w:rsidRPr="00064222">
              <w:rPr>
                <w:bCs/>
                <w:spacing w:val="-2"/>
                <w:sz w:val="28"/>
                <w:szCs w:val="28"/>
              </w:rPr>
              <w:t>з</w:t>
            </w:r>
            <w:r w:rsidR="00064222" w:rsidRPr="00064222">
              <w:rPr>
                <w:sz w:val="28"/>
                <w:szCs w:val="28"/>
              </w:rPr>
              <w:t>дійснення державного нагляду (контролю)</w:t>
            </w:r>
            <w:r w:rsidR="00064222" w:rsidRPr="00064222">
              <w:rPr>
                <w:rStyle w:val="a4"/>
                <w:rFonts w:eastAsia="Calibri"/>
                <w:szCs w:val="28"/>
                <w:lang w:val="uk-UA"/>
              </w:rPr>
              <w:t xml:space="preserve">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законодавства, зокрема, у галу</w:t>
            </w:r>
            <w:r w:rsidR="00064222">
              <w:rPr>
                <w:rStyle w:val="a4"/>
                <w:rFonts w:eastAsia="Calibri"/>
                <w:szCs w:val="28"/>
                <w:lang w:val="uk-UA"/>
              </w:rPr>
              <w:t>зі охорони земельних ресурсів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>;</w:t>
            </w:r>
          </w:p>
          <w:p w:rsidR="00064222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2) надання територіальним органам методичної і практичної допомоги з питань, що належать до компетенції відділу, прийняття участі у перевірках їх діяльності в частині організації і здійснення державного нагляду (контролю) у сфері охорони земельних ресурсів</w:t>
            </w:r>
            <w:r w:rsidRPr="00064222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  </w:t>
            </w:r>
          </w:p>
          <w:p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82737" w:rsidRPr="00064222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ь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 xml:space="preserve"> у проведенні планових та позапланових перевірок додержання вимог природоохоронного законодавства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р</w:t>
            </w:r>
            <w:r w:rsidR="00F37158" w:rsidRPr="00064222">
              <w:rPr>
                <w:rStyle w:val="a4"/>
                <w:rFonts w:eastAsia="Calibri"/>
                <w:szCs w:val="28"/>
                <w:lang w:val="uk-UA"/>
              </w:rPr>
              <w:t>озгляд</w:t>
            </w:r>
            <w:r w:rsidR="00231D87" w:rsidRPr="00064222">
              <w:rPr>
                <w:rStyle w:val="a4"/>
                <w:rFonts w:eastAsia="Calibri"/>
                <w:szCs w:val="28"/>
                <w:lang w:val="uk-UA"/>
              </w:rPr>
              <w:t xml:space="preserve"> </w:t>
            </w:r>
            <w:r>
              <w:rPr>
                <w:rStyle w:val="a4"/>
                <w:rFonts w:eastAsia="Calibri"/>
                <w:szCs w:val="28"/>
                <w:lang w:val="uk-UA"/>
              </w:rPr>
              <w:t xml:space="preserve">депутатських звернень, запитів, </w:t>
            </w:r>
            <w:r w:rsidR="00231D87" w:rsidRPr="00064222">
              <w:rPr>
                <w:rStyle w:val="a4"/>
                <w:rFonts w:eastAsia="Calibri"/>
                <w:szCs w:val="28"/>
                <w:lang w:val="uk-UA"/>
              </w:rPr>
              <w:t>доручень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 xml:space="preserve"> Президента України, Верховної Ради України, Кабінет</w:t>
            </w:r>
            <w:r w:rsidR="00231D87" w:rsidRPr="00064222">
              <w:rPr>
                <w:rStyle w:val="a4"/>
                <w:rFonts w:eastAsia="Calibri"/>
                <w:szCs w:val="28"/>
                <w:lang w:val="uk-UA"/>
              </w:rPr>
              <w:t>у Міністрів України, запитів</w:t>
            </w:r>
            <w:r>
              <w:rPr>
                <w:rStyle w:val="a4"/>
                <w:rFonts w:eastAsia="Calibri"/>
                <w:szCs w:val="28"/>
                <w:lang w:val="uk-UA"/>
              </w:rPr>
              <w:t xml:space="preserve"> 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>на</w:t>
            </w:r>
            <w:r>
              <w:rPr>
                <w:rStyle w:val="a4"/>
                <w:rFonts w:eastAsia="Calibri"/>
                <w:szCs w:val="28"/>
                <w:lang w:val="uk-UA"/>
              </w:rPr>
              <w:t xml:space="preserve"> отримання  публічної інформації, скарг,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природоохоронного законодавства у сфері охорони і раціонального використання земельних ресурсів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382737" w:rsidRPr="00064222" w:rsidRDefault="00D72EB6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участь у роботі нарад, семінарів, конференцій</w:t>
            </w:r>
            <w:r w:rsidR="005869C3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з питань охорони і раціонального використання земельних ресурсів;</w:t>
            </w:r>
          </w:p>
          <w:p w:rsidR="00382737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участь у перевірках інспекційної діяльності територіальних та міжрегіональних територіальних органів Держекоінспекції</w:t>
            </w:r>
            <w:r w:rsidR="007C3B69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E847DA" w:rsidRPr="00E847DA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7) збір, аналіз та узагальнення матеріалів звітності про роботу територіальних та міжрегіональних територіальних органів Держекоінспекції з питань, що належать до повноважень відділу</w:t>
            </w:r>
            <w:r w:rsidRPr="00E847DA">
              <w:rPr>
                <w:bCs/>
                <w:spacing w:val="-2"/>
                <w:sz w:val="28"/>
                <w:szCs w:val="28"/>
              </w:rPr>
              <w:t>;</w:t>
            </w:r>
          </w:p>
          <w:p w:rsidR="00382737" w:rsidRPr="00064222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8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>ведення діловодства у Відділі.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оплати праці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382737">
            <w:pPr>
              <w:pStyle w:val="ab"/>
              <w:numPr>
                <w:ilvl w:val="0"/>
                <w:numId w:val="11"/>
              </w:numPr>
              <w:ind w:right="164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>посадовий окла</w:t>
            </w:r>
            <w:r w:rsidRPr="00064222">
              <w:rPr>
                <w:sz w:val="28"/>
                <w:szCs w:val="28"/>
                <w:shd w:val="clear" w:color="auto" w:fill="FFFFFF"/>
              </w:rPr>
              <w:t>д – 9000 грн.</w:t>
            </w:r>
            <w:r w:rsidRPr="00064222">
              <w:rPr>
                <w:sz w:val="28"/>
                <w:szCs w:val="28"/>
              </w:rPr>
              <w:t>;</w:t>
            </w:r>
          </w:p>
          <w:p w:rsidR="00382737" w:rsidRPr="00064222" w:rsidRDefault="00382737" w:rsidP="00382737">
            <w:pPr>
              <w:ind w:left="124" w:right="128"/>
              <w:jc w:val="both"/>
              <w:rPr>
                <w:b/>
                <w:i/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>-  надбавки, доплати, премії та компенсації відповідно до статті 52 Закону України “Про державну службу”</w:t>
            </w:r>
            <w:r w:rsidRPr="00064222">
              <w:rPr>
                <w:sz w:val="28"/>
                <w:szCs w:val="28"/>
                <w:lang w:val="ru-RU"/>
              </w:rPr>
              <w:t>;</w:t>
            </w:r>
          </w:p>
          <w:p w:rsidR="00382737" w:rsidRPr="00064222" w:rsidRDefault="00382737" w:rsidP="00382737">
            <w:pPr>
              <w:ind w:left="124" w:right="128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призначення на посаду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:rsidTr="00D804DA">
        <w:tc>
          <w:tcPr>
            <w:tcW w:w="10628" w:type="dxa"/>
            <w:vAlign w:val="center"/>
          </w:tcPr>
          <w:p w:rsidR="00382737" w:rsidRPr="00064222" w:rsidRDefault="005869C3" w:rsidP="00CD4013">
            <w:pPr>
              <w:pStyle w:val="ab"/>
              <w:numPr>
                <w:ilvl w:val="0"/>
                <w:numId w:val="11"/>
              </w:numPr>
              <w:ind w:left="127" w:right="128" w:firstLine="142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призначення на посаду </w:t>
            </w:r>
            <w:r w:rsidR="00382737" w:rsidRPr="00064222">
              <w:rPr>
                <w:sz w:val="28"/>
                <w:szCs w:val="28"/>
              </w:rPr>
              <w:t>строков</w:t>
            </w:r>
            <w:r w:rsidRPr="00064222">
              <w:rPr>
                <w:sz w:val="28"/>
                <w:szCs w:val="28"/>
              </w:rPr>
              <w:t>е</w:t>
            </w:r>
            <w:r w:rsidR="00382737" w:rsidRPr="00064222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064222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5869C3" w:rsidP="005869C3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064222">
              <w:rPr>
                <w:b/>
                <w:sz w:val="28"/>
                <w:szCs w:val="28"/>
              </w:rPr>
              <w:t>Кваліфікаційні вимоги</w:t>
            </w:r>
            <w:r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:rsidTr="00D804DA">
        <w:tc>
          <w:tcPr>
            <w:tcW w:w="10628" w:type="dxa"/>
          </w:tcPr>
          <w:p w:rsidR="005869C3" w:rsidRPr="00064222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064222">
              <w:rPr>
                <w:rStyle w:val="rvts0"/>
                <w:sz w:val="28"/>
                <w:szCs w:val="28"/>
              </w:rPr>
              <w:t>вища освіта</w:t>
            </w:r>
            <w:r w:rsidRPr="00064222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064222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064222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064222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5869C3" w:rsidRPr="00064222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064222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lastRenderedPageBreak/>
              <w:t>Професійні знання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:rsidTr="00D804DA">
        <w:tc>
          <w:tcPr>
            <w:tcW w:w="10628" w:type="dxa"/>
          </w:tcPr>
          <w:p w:rsidR="005869C3" w:rsidRPr="00064222" w:rsidRDefault="005869C3" w:rsidP="00BD4C11">
            <w:pPr>
              <w:keepNext/>
              <w:keepLines/>
              <w:spacing w:before="60" w:beforeAutospacing="1" w:afterAutospacing="1"/>
              <w:ind w:left="127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>- знання законодавства</w:t>
            </w:r>
            <w:r w:rsidR="000C4549"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  <w:lang w:val="ru-RU"/>
              </w:rPr>
              <w:t xml:space="preserve"> </w:t>
            </w:r>
            <w:r w:rsidRPr="00064222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</w:t>
            </w:r>
            <w:bookmarkStart w:id="0" w:name="_GoBack"/>
            <w:bookmarkEnd w:id="0"/>
            <w:r w:rsidRPr="00064222">
              <w:rPr>
                <w:sz w:val="28"/>
                <w:szCs w:val="28"/>
              </w:rPr>
              <w:t>” та іншого законодавства</w:t>
            </w:r>
            <w:r w:rsidRPr="00064222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064222" w:rsidTr="00D804DA">
        <w:tc>
          <w:tcPr>
            <w:tcW w:w="10628" w:type="dxa"/>
          </w:tcPr>
          <w:p w:rsidR="005869C3" w:rsidRPr="00064222" w:rsidRDefault="000C4549" w:rsidP="00B77090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>- з</w:t>
            </w:r>
            <w:r w:rsidR="005869C3" w:rsidRPr="00064222">
              <w:rPr>
                <w:sz w:val="28"/>
                <w:szCs w:val="28"/>
              </w:rPr>
              <w:t>нання законодавства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у сфері</w:t>
            </w:r>
            <w:r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Земельного</w:t>
            </w:r>
            <w:r w:rsidRPr="00064222">
              <w:rPr>
                <w:sz w:val="28"/>
                <w:szCs w:val="28"/>
              </w:rPr>
              <w:t xml:space="preserve"> кодексу України, </w:t>
            </w:r>
            <w:r w:rsidR="005869C3" w:rsidRPr="00064222">
              <w:rPr>
                <w:sz w:val="28"/>
                <w:szCs w:val="28"/>
              </w:rPr>
              <w:t>Кодексу України про</w:t>
            </w:r>
            <w:r w:rsidRPr="00064222">
              <w:rPr>
                <w:sz w:val="28"/>
                <w:szCs w:val="28"/>
              </w:rPr>
              <w:t xml:space="preserve"> адміністративні правопорушення,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охорону навколишнього природного середовища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державний контроль за використанням та охороною земель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оцінку впливу на довкілля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охорону земель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основні засади державного нагляду (контролю) у сфері господарської діяльності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перелік документів дозвільного характеру у сфері господарської діяльності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B77090" w:rsidRPr="0006422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звернення громадян”, </w:t>
            </w:r>
            <w:r w:rsidR="00B77090" w:rsidRPr="00064222">
              <w:rPr>
                <w:sz w:val="28"/>
                <w:szCs w:val="28"/>
                <w:lang w:val="ru-RU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Положення про Державну екологічну інспекцію України, затвердженого постановою Кабінету Міністрів України від 19 квітня 2017 року № 275</w:t>
            </w:r>
            <w:r w:rsidR="00D42997" w:rsidRPr="00064222">
              <w:rPr>
                <w:sz w:val="28"/>
                <w:szCs w:val="28"/>
              </w:rPr>
              <w:t xml:space="preserve"> (із змінами)</w:t>
            </w:r>
            <w:r w:rsidRPr="00064222">
              <w:rPr>
                <w:sz w:val="28"/>
                <w:szCs w:val="28"/>
              </w:rPr>
              <w:t>.</w:t>
            </w:r>
            <w:r w:rsidR="005869C3" w:rsidRPr="00064222">
              <w:rPr>
                <w:sz w:val="28"/>
                <w:szCs w:val="28"/>
              </w:rPr>
              <w:t xml:space="preserve">   </w:t>
            </w:r>
          </w:p>
        </w:tc>
      </w:tr>
    </w:tbl>
    <w:p w:rsidR="004A10A8" w:rsidRPr="00064222" w:rsidRDefault="004A10A8" w:rsidP="0017085F">
      <w:pPr>
        <w:rPr>
          <w:sz w:val="28"/>
          <w:szCs w:val="28"/>
        </w:rPr>
      </w:pPr>
    </w:p>
    <w:sectPr w:rsidR="004A10A8" w:rsidRPr="00064222" w:rsidSect="00D804DA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4222"/>
    <w:rsid w:val="00066013"/>
    <w:rsid w:val="00080739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4956"/>
    <w:rsid w:val="001151D7"/>
    <w:rsid w:val="001247B9"/>
    <w:rsid w:val="00155D94"/>
    <w:rsid w:val="001564DB"/>
    <w:rsid w:val="0017085F"/>
    <w:rsid w:val="00173762"/>
    <w:rsid w:val="001F7247"/>
    <w:rsid w:val="00205534"/>
    <w:rsid w:val="002112D8"/>
    <w:rsid w:val="00212B10"/>
    <w:rsid w:val="00231D87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E53"/>
    <w:rsid w:val="003255D4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2737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74483"/>
    <w:rsid w:val="00782CCD"/>
    <w:rsid w:val="007903BF"/>
    <w:rsid w:val="007A60F6"/>
    <w:rsid w:val="007B5388"/>
    <w:rsid w:val="007C1BBB"/>
    <w:rsid w:val="007C38ED"/>
    <w:rsid w:val="007C3B69"/>
    <w:rsid w:val="007D3D21"/>
    <w:rsid w:val="007E45CA"/>
    <w:rsid w:val="00805FE9"/>
    <w:rsid w:val="008164D5"/>
    <w:rsid w:val="008302FF"/>
    <w:rsid w:val="00846B87"/>
    <w:rsid w:val="00885AA9"/>
    <w:rsid w:val="00894986"/>
    <w:rsid w:val="008B3FF0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A2DB6"/>
    <w:rsid w:val="00AC2D65"/>
    <w:rsid w:val="00AF6E07"/>
    <w:rsid w:val="00AF7C49"/>
    <w:rsid w:val="00B07338"/>
    <w:rsid w:val="00B107F1"/>
    <w:rsid w:val="00B1463A"/>
    <w:rsid w:val="00B21F1E"/>
    <w:rsid w:val="00B429C5"/>
    <w:rsid w:val="00B572F5"/>
    <w:rsid w:val="00B77090"/>
    <w:rsid w:val="00BA1595"/>
    <w:rsid w:val="00BC20A1"/>
    <w:rsid w:val="00BD34FE"/>
    <w:rsid w:val="00BD4C11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D4013"/>
    <w:rsid w:val="00CE1E97"/>
    <w:rsid w:val="00CE43A2"/>
    <w:rsid w:val="00CE77A6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2997"/>
    <w:rsid w:val="00D43AE6"/>
    <w:rsid w:val="00D47C5B"/>
    <w:rsid w:val="00D52A94"/>
    <w:rsid w:val="00D52FD6"/>
    <w:rsid w:val="00D72EB6"/>
    <w:rsid w:val="00D7415D"/>
    <w:rsid w:val="00D75D68"/>
    <w:rsid w:val="00D804DA"/>
    <w:rsid w:val="00D8100A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847DA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3AE0"/>
    <w:rsid w:val="00F04E30"/>
    <w:rsid w:val="00F1217E"/>
    <w:rsid w:val="00F34A1C"/>
    <w:rsid w:val="00F37158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67E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03E9-B48D-4BB2-8517-AF4DBCF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2023-09-04T09:34:00Z</cp:lastPrinted>
  <dcterms:created xsi:type="dcterms:W3CDTF">2021-04-07T07:09:00Z</dcterms:created>
  <dcterms:modified xsi:type="dcterms:W3CDTF">2023-09-04T11:18:00Z</dcterms:modified>
</cp:coreProperties>
</file>